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3CB0DFFC"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w:t>
      </w:r>
      <w:r w:rsidRPr="005703D0">
        <w:rPr>
          <w:rFonts w:ascii="Arial" w:hAnsi="Arial" w:cs="Arial"/>
          <w:b/>
          <w:sz w:val="22"/>
          <w:szCs w:val="22"/>
        </w:rPr>
        <w:t xml:space="preserve">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B25A8B" w:rsidRPr="005703D0">
            <w:rPr>
              <w:rFonts w:ascii="Arial" w:hAnsi="Arial" w:cs="Arial"/>
              <w:b/>
              <w:sz w:val="22"/>
              <w:szCs w:val="22"/>
            </w:rPr>
            <w:t>0</w:t>
          </w:r>
          <w:r w:rsidR="0028303A">
            <w:rPr>
              <w:rFonts w:ascii="Arial" w:hAnsi="Arial" w:cs="Arial"/>
              <w:b/>
              <w:sz w:val="22"/>
              <w:szCs w:val="22"/>
            </w:rPr>
            <w:t>6</w:t>
          </w:r>
          <w:r w:rsidR="00B25A8B" w:rsidRPr="005703D0">
            <w:rPr>
              <w:rFonts w:ascii="Arial" w:hAnsi="Arial" w:cs="Arial"/>
              <w:b/>
              <w:sz w:val="22"/>
              <w:szCs w:val="22"/>
            </w:rPr>
            <w:t>/2026</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740B1808" w:rsidR="00E253F1" w:rsidRPr="005703D0" w:rsidRDefault="00C722EE" w:rsidP="00E253F1">
      <w:pPr>
        <w:spacing w:line="276" w:lineRule="auto"/>
        <w:rPr>
          <w:rFonts w:ascii="Arial" w:hAnsi="Arial" w:cs="Arial"/>
          <w:b/>
          <w:sz w:val="22"/>
          <w:szCs w:val="22"/>
        </w:rPr>
      </w:pPr>
      <w:r w:rsidRPr="005874B7">
        <w:rPr>
          <w:rFonts w:ascii="Arial" w:hAnsi="Arial" w:cs="Arial"/>
          <w:b/>
          <w:sz w:val="22"/>
          <w:szCs w:val="22"/>
        </w:rPr>
        <w:t>PROCESSO Nº</w:t>
      </w:r>
      <w:r w:rsidR="00E253F1" w:rsidRPr="005874B7">
        <w:rPr>
          <w:rFonts w:ascii="Arial" w:hAnsi="Arial" w:cs="Arial"/>
          <w:b/>
          <w:sz w:val="22"/>
          <w:szCs w:val="22"/>
        </w:rPr>
        <w:t xml:space="preserve">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2"/>
              <w:szCs w:val="22"/>
            </w:rPr>
            <w:t>259/2026</w:t>
          </w:r>
        </w:sdtContent>
      </w:sdt>
    </w:p>
    <w:p w14:paraId="1BE7840D" w14:textId="245A6406" w:rsidR="00E253F1" w:rsidRPr="005703D0" w:rsidRDefault="00E253F1" w:rsidP="00E253F1">
      <w:pPr>
        <w:spacing w:line="276" w:lineRule="auto"/>
        <w:jc w:val="both"/>
        <w:rPr>
          <w:rFonts w:ascii="Arial" w:hAnsi="Arial" w:cs="Arial"/>
          <w:sz w:val="22"/>
          <w:szCs w:val="22"/>
        </w:rPr>
      </w:pPr>
      <w:r w:rsidRPr="005703D0">
        <w:rPr>
          <w:rFonts w:ascii="Arial" w:hAnsi="Arial" w:cs="Arial"/>
          <w:b/>
          <w:sz w:val="22"/>
          <w:szCs w:val="22"/>
        </w:rPr>
        <w:t>ASSUNTO:</w:t>
      </w:r>
      <w:r w:rsidRPr="005703D0">
        <w:rPr>
          <w:rFonts w:ascii="Arial" w:hAnsi="Arial" w:cs="Arial"/>
          <w:sz w:val="22"/>
          <w:szCs w:val="22"/>
          <w:shd w:val="clear" w:color="auto" w:fill="FFFFFF"/>
        </w:rPr>
        <w:t xml:space="preserve"> </w:t>
      </w:r>
      <w:r w:rsidR="00B25A8B" w:rsidRPr="005703D0">
        <w:rPr>
          <w:rFonts w:ascii="Arial" w:hAnsi="Arial" w:cs="Arial"/>
          <w:sz w:val="22"/>
          <w:szCs w:val="22"/>
        </w:rPr>
        <w:t xml:space="preserve">Aquisição de </w:t>
      </w:r>
      <w:r w:rsidR="003A7F59">
        <w:rPr>
          <w:rFonts w:ascii="Arial" w:hAnsi="Arial" w:cs="Arial"/>
          <w:sz w:val="22"/>
          <w:szCs w:val="22"/>
        </w:rPr>
        <w:t>Certificados Digitais</w:t>
      </w:r>
    </w:p>
    <w:p w14:paraId="1BC1A152" w14:textId="6A6CD471" w:rsidR="00E253F1" w:rsidRPr="005703D0" w:rsidRDefault="00E253F1" w:rsidP="00E253F1">
      <w:pPr>
        <w:spacing w:line="276" w:lineRule="auto"/>
        <w:jc w:val="both"/>
        <w:rPr>
          <w:rFonts w:ascii="Arial" w:hAnsi="Arial" w:cs="Arial"/>
          <w:sz w:val="22"/>
          <w:szCs w:val="22"/>
        </w:rPr>
      </w:pPr>
      <w:r w:rsidRPr="005703D0">
        <w:rPr>
          <w:rFonts w:ascii="Arial" w:hAnsi="Arial" w:cs="Arial"/>
          <w:b/>
          <w:sz w:val="22"/>
          <w:szCs w:val="22"/>
        </w:rPr>
        <w:t>Unidade Solicitante</w:t>
      </w:r>
      <w:r w:rsidRPr="005703D0">
        <w:rPr>
          <w:rFonts w:ascii="Arial" w:hAnsi="Arial" w:cs="Arial"/>
          <w:sz w:val="22"/>
          <w:szCs w:val="22"/>
        </w:rPr>
        <w:t xml:space="preserve">: </w:t>
      </w:r>
      <w:r w:rsidR="003A7F59">
        <w:rPr>
          <w:rFonts w:ascii="Arial" w:hAnsi="Arial" w:cs="Arial"/>
          <w:sz w:val="22"/>
          <w:szCs w:val="22"/>
          <w:shd w:val="clear" w:color="auto" w:fill="FFFFFF"/>
        </w:rPr>
        <w:t>Diretoria Administrativa</w:t>
      </w:r>
    </w:p>
    <w:p w14:paraId="6E567BE9" w14:textId="77777777" w:rsidR="00E253F1" w:rsidRPr="005874B7" w:rsidRDefault="00E253F1" w:rsidP="00E253F1">
      <w:pPr>
        <w:spacing w:line="276" w:lineRule="auto"/>
        <w:rPr>
          <w:rFonts w:ascii="Arial" w:hAnsi="Arial" w:cs="Arial"/>
          <w:sz w:val="22"/>
          <w:szCs w:val="22"/>
        </w:rPr>
      </w:pPr>
      <w:r w:rsidRPr="005703D0">
        <w:rPr>
          <w:rFonts w:ascii="Arial" w:hAnsi="Arial" w:cs="Arial"/>
          <w:b/>
          <w:sz w:val="22"/>
          <w:szCs w:val="22"/>
        </w:rPr>
        <w:t>Fundamento</w:t>
      </w:r>
      <w:r w:rsidRPr="005703D0">
        <w:rPr>
          <w:rFonts w:ascii="Arial" w:hAnsi="Arial" w:cs="Arial"/>
          <w:sz w:val="22"/>
          <w:szCs w:val="22"/>
        </w:rPr>
        <w:t>: Dispensa de licitação [Art. 75, Inc. II 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07CAC67E" w14:textId="30A1107A" w:rsidR="00163107" w:rsidRDefault="00E253F1" w:rsidP="00163107">
      <w:pPr>
        <w:spacing w:line="276" w:lineRule="auto"/>
        <w:rPr>
          <w:rFonts w:ascii="Arial" w:hAnsi="Arial" w:cs="Arial"/>
          <w:b/>
          <w:sz w:val="22"/>
          <w:szCs w:val="22"/>
          <w:shd w:val="clear" w:color="auto" w:fill="FFFFFF"/>
        </w:rPr>
      </w:pPr>
      <w:r w:rsidRPr="005874B7">
        <w:rPr>
          <w:rFonts w:ascii="Arial" w:hAnsi="Arial" w:cs="Arial"/>
          <w:b/>
          <w:sz w:val="22"/>
          <w:szCs w:val="22"/>
        </w:rPr>
        <w:t>Valor Estimado</w:t>
      </w:r>
      <w:r w:rsidRPr="005874B7">
        <w:rPr>
          <w:rFonts w:ascii="Arial" w:hAnsi="Arial" w:cs="Arial"/>
          <w:sz w:val="22"/>
          <w:szCs w:val="22"/>
        </w:rPr>
        <w:t xml:space="preserve">: </w:t>
      </w:r>
      <w:r w:rsidR="00163107" w:rsidRPr="00163107">
        <w:rPr>
          <w:rFonts w:ascii="Arial" w:hAnsi="Arial" w:cs="Arial"/>
          <w:b/>
          <w:sz w:val="22"/>
          <w:szCs w:val="22"/>
          <w:shd w:val="clear" w:color="auto" w:fill="FFFFFF"/>
        </w:rPr>
        <w:t>R$ 7.980,00 (sete</w:t>
      </w:r>
      <w:r w:rsidR="00163107">
        <w:rPr>
          <w:rFonts w:ascii="Arial" w:hAnsi="Arial" w:cs="Arial"/>
          <w:b/>
          <w:sz w:val="22"/>
          <w:szCs w:val="22"/>
          <w:shd w:val="clear" w:color="auto" w:fill="FFFFFF"/>
        </w:rPr>
        <w:t xml:space="preserve"> </w:t>
      </w:r>
      <w:r w:rsidR="00163107" w:rsidRPr="00163107">
        <w:rPr>
          <w:rFonts w:ascii="Arial" w:hAnsi="Arial" w:cs="Arial"/>
          <w:b/>
          <w:sz w:val="22"/>
          <w:szCs w:val="22"/>
          <w:shd w:val="clear" w:color="auto" w:fill="FFFFFF"/>
        </w:rPr>
        <w:t>mil, novecentos e oitenta reais)</w:t>
      </w:r>
    </w:p>
    <w:p w14:paraId="38934F2C" w14:textId="404032B9" w:rsidR="00163107" w:rsidRPr="00163107" w:rsidRDefault="00E253F1" w:rsidP="00163107">
      <w:pPr>
        <w:spacing w:line="276" w:lineRule="auto"/>
        <w:jc w:val="both"/>
        <w:rPr>
          <w:rFonts w:ascii="Arial" w:hAnsi="Arial" w:cs="Arial"/>
          <w:sz w:val="22"/>
          <w:szCs w:val="22"/>
        </w:rPr>
      </w:pPr>
      <w:r w:rsidRPr="005874B7">
        <w:rPr>
          <w:rFonts w:ascii="Arial" w:hAnsi="Arial" w:cs="Arial"/>
          <w:b/>
          <w:sz w:val="22"/>
          <w:szCs w:val="22"/>
        </w:rPr>
        <w:t>Elemento de despesa</w:t>
      </w:r>
      <w:r w:rsidRPr="005874B7">
        <w:rPr>
          <w:rFonts w:ascii="Arial" w:hAnsi="Arial" w:cs="Arial"/>
          <w:sz w:val="22"/>
          <w:szCs w:val="22"/>
        </w:rPr>
        <w:t xml:space="preserve">: </w:t>
      </w:r>
      <w:r w:rsidR="00163107">
        <w:rPr>
          <w:rFonts w:ascii="Arial" w:hAnsi="Arial" w:cs="Arial"/>
          <w:sz w:val="22"/>
          <w:szCs w:val="22"/>
        </w:rPr>
        <w:t>f</w:t>
      </w:r>
      <w:r w:rsidR="00163107" w:rsidRPr="00163107">
        <w:rPr>
          <w:rFonts w:ascii="Arial" w:hAnsi="Arial" w:cs="Arial"/>
          <w:sz w:val="22"/>
          <w:szCs w:val="22"/>
        </w:rPr>
        <w:t>icha nº</w:t>
      </w:r>
      <w:r w:rsidR="00163107">
        <w:rPr>
          <w:rFonts w:ascii="Arial" w:hAnsi="Arial" w:cs="Arial"/>
          <w:sz w:val="22"/>
          <w:szCs w:val="22"/>
        </w:rPr>
        <w:t xml:space="preserve"> </w:t>
      </w:r>
      <w:r w:rsidR="00163107" w:rsidRPr="00163107">
        <w:rPr>
          <w:rFonts w:ascii="Arial" w:hAnsi="Arial" w:cs="Arial"/>
          <w:sz w:val="22"/>
          <w:szCs w:val="22"/>
        </w:rPr>
        <w:t>13 – 3.3.90.40.00 – serviços de tecnologia da informação e comunicação – pessoa</w:t>
      </w:r>
      <w:r w:rsidR="00163107">
        <w:rPr>
          <w:rFonts w:ascii="Arial" w:hAnsi="Arial" w:cs="Arial"/>
          <w:sz w:val="22"/>
          <w:szCs w:val="22"/>
        </w:rPr>
        <w:t xml:space="preserve"> </w:t>
      </w:r>
      <w:r w:rsidR="00163107" w:rsidRPr="00163107">
        <w:rPr>
          <w:rFonts w:ascii="Arial" w:hAnsi="Arial" w:cs="Arial"/>
          <w:sz w:val="22"/>
          <w:szCs w:val="22"/>
        </w:rPr>
        <w:t xml:space="preserve">jurídica, subelemento nº 99 – outros serviços de tecnologia da </w:t>
      </w:r>
      <w:r w:rsidR="00163107">
        <w:rPr>
          <w:rFonts w:ascii="Arial" w:hAnsi="Arial" w:cs="Arial"/>
          <w:sz w:val="22"/>
          <w:szCs w:val="22"/>
        </w:rPr>
        <w:t>i</w:t>
      </w:r>
      <w:r w:rsidR="00163107" w:rsidRPr="00163107">
        <w:rPr>
          <w:rFonts w:ascii="Arial" w:hAnsi="Arial" w:cs="Arial"/>
          <w:sz w:val="22"/>
          <w:szCs w:val="22"/>
        </w:rPr>
        <w:t>nformação – pessoa</w:t>
      </w:r>
      <w:r w:rsidR="00163107">
        <w:rPr>
          <w:rFonts w:ascii="Arial" w:hAnsi="Arial" w:cs="Arial"/>
          <w:sz w:val="22"/>
          <w:szCs w:val="22"/>
        </w:rPr>
        <w:t xml:space="preserve"> </w:t>
      </w:r>
      <w:r w:rsidR="00163107" w:rsidRPr="00163107">
        <w:rPr>
          <w:rFonts w:ascii="Arial" w:hAnsi="Arial" w:cs="Arial"/>
          <w:sz w:val="22"/>
          <w:szCs w:val="22"/>
        </w:rPr>
        <w:t>jurídica.</w:t>
      </w:r>
    </w:p>
    <w:p w14:paraId="1C36D5E7" w14:textId="77777777"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Pr="005874B7">
        <w:rPr>
          <w:rFonts w:ascii="Arial" w:hAnsi="Arial" w:cs="Arial"/>
          <w:sz w:val="22"/>
          <w:szCs w:val="22"/>
        </w:rPr>
        <w:t xml:space="preserve">: </w:t>
      </w:r>
      <w:r w:rsidRPr="005874B7">
        <w:rPr>
          <w:rFonts w:ascii="Arial" w:hAnsi="Arial" w:cs="Arial"/>
          <w:b/>
          <w:sz w:val="22"/>
          <w:szCs w:val="22"/>
          <w:u w:val="single"/>
        </w:rPr>
        <w:t>Nota de Empenho</w:t>
      </w:r>
    </w:p>
    <w:p w14:paraId="667D1D7D" w14:textId="767023EF"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3A7F59">
            <w:rPr>
              <w:rFonts w:ascii="Arial" w:hAnsi="Arial" w:cs="Arial"/>
              <w:b/>
              <w:sz w:val="22"/>
              <w:szCs w:val="22"/>
            </w:rPr>
            <w:t>Material - FRACIONADA - Item 4.1.2.1.2</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3A7F59" w:rsidRDefault="00E253F1" w:rsidP="00E253F1">
      <w:pPr>
        <w:pStyle w:val="PargrafodaLista"/>
        <w:spacing w:line="276" w:lineRule="auto"/>
        <w:ind w:left="360"/>
        <w:jc w:val="both"/>
        <w:rPr>
          <w:rFonts w:ascii="Arial" w:hAnsi="Arial" w:cs="Arial"/>
          <w:b/>
          <w:sz w:val="22"/>
          <w:szCs w:val="22"/>
          <w:u w:val="single"/>
        </w:rPr>
      </w:pPr>
    </w:p>
    <w:p w14:paraId="4B9B6006" w14:textId="77777777" w:rsidR="003A7F59" w:rsidRDefault="003A7F59" w:rsidP="003A7F59">
      <w:pPr>
        <w:spacing w:line="276" w:lineRule="auto"/>
        <w:jc w:val="both"/>
        <w:rPr>
          <w:rFonts w:ascii="Arial" w:hAnsi="Arial" w:cs="Arial"/>
          <w:bCs/>
          <w:sz w:val="22"/>
          <w:szCs w:val="22"/>
        </w:rPr>
      </w:pPr>
      <w:r w:rsidRPr="003A7F59">
        <w:rPr>
          <w:rFonts w:ascii="Arial" w:hAnsi="Arial" w:cs="Arial"/>
          <w:sz w:val="22"/>
          <w:szCs w:val="22"/>
        </w:rPr>
        <w:t xml:space="preserve">Contratação de empresa para fornecimento de até 20 (vinte) </w:t>
      </w:r>
      <w:r w:rsidRPr="003A7F59">
        <w:rPr>
          <w:rFonts w:ascii="Arial" w:hAnsi="Arial" w:cs="Arial"/>
          <w:b/>
          <w:sz w:val="22"/>
          <w:szCs w:val="22"/>
        </w:rPr>
        <w:t xml:space="preserve">e-CPF A3, padrão ICP Brasil, com validade de 36 (trinta e seis) meses, </w:t>
      </w:r>
      <w:r w:rsidRPr="003A7F59">
        <w:rPr>
          <w:rFonts w:ascii="Arial" w:hAnsi="Arial" w:cs="Arial"/>
          <w:bCs/>
          <w:sz w:val="22"/>
          <w:szCs w:val="22"/>
        </w:rPr>
        <w:t>armazenados em token.</w:t>
      </w:r>
    </w:p>
    <w:p w14:paraId="2EB7F6FA" w14:textId="77777777" w:rsidR="003A7F59" w:rsidRDefault="003A7F59" w:rsidP="003A7F59">
      <w:pPr>
        <w:spacing w:line="276" w:lineRule="auto"/>
        <w:jc w:val="both"/>
        <w:rPr>
          <w:rFonts w:ascii="Arial" w:hAnsi="Arial" w:cs="Arial"/>
          <w:bCs/>
          <w:sz w:val="22"/>
          <w:szCs w:val="22"/>
        </w:rPr>
      </w:pPr>
    </w:p>
    <w:p w14:paraId="7DA995F0" w14:textId="24A92B27" w:rsidR="003A7F59" w:rsidRPr="003A7F59" w:rsidRDefault="003A7F59" w:rsidP="003A7F59">
      <w:pPr>
        <w:spacing w:line="276" w:lineRule="auto"/>
        <w:jc w:val="both"/>
        <w:rPr>
          <w:rFonts w:ascii="Arial" w:hAnsi="Arial" w:cs="Arial"/>
          <w:bCs/>
          <w:sz w:val="22"/>
          <w:szCs w:val="22"/>
        </w:rPr>
      </w:pPr>
      <w:r w:rsidRPr="003A7F59">
        <w:rPr>
          <w:rFonts w:ascii="Arial" w:hAnsi="Arial" w:cs="Arial"/>
          <w:bCs/>
          <w:sz w:val="22"/>
          <w:szCs w:val="22"/>
        </w:rPr>
        <w:t xml:space="preserve">Esta contratação é necessária </w:t>
      </w:r>
      <w:r>
        <w:rPr>
          <w:rFonts w:ascii="Arial" w:hAnsi="Arial" w:cs="Arial"/>
          <w:bCs/>
          <w:sz w:val="22"/>
          <w:szCs w:val="22"/>
        </w:rPr>
        <w:t xml:space="preserve">para certificar a assinatura eletrônica no padrão </w:t>
      </w:r>
      <w:r w:rsidRPr="003A7F59">
        <w:rPr>
          <w:rFonts w:ascii="Arial" w:hAnsi="Arial" w:cs="Arial"/>
          <w:sz w:val="22"/>
          <w:szCs w:val="22"/>
        </w:rPr>
        <w:t>ICP Brasil para funcionários ocupando cargos chaves desta Casa, de modo que os documentos assinados por estes tenham validade incontestável perante órgãos externos</w:t>
      </w:r>
      <w:r>
        <w:rPr>
          <w:rFonts w:ascii="Arial" w:hAnsi="Arial" w:cs="Arial"/>
          <w:sz w:val="22"/>
          <w:szCs w:val="22"/>
        </w:rPr>
        <w:t>, como:</w:t>
      </w:r>
    </w:p>
    <w:p w14:paraId="478E7352" w14:textId="77777777" w:rsidR="003A7F59" w:rsidRDefault="003A7F59" w:rsidP="003A7F59">
      <w:pPr>
        <w:spacing w:line="276" w:lineRule="auto"/>
        <w:jc w:val="both"/>
        <w:rPr>
          <w:rFonts w:ascii="Arial" w:hAnsi="Arial" w:cs="Arial"/>
          <w:bCs/>
          <w:sz w:val="22"/>
          <w:szCs w:val="22"/>
        </w:rPr>
      </w:pPr>
    </w:p>
    <w:p w14:paraId="14FC6C23" w14:textId="112B6620" w:rsidR="003A7F59" w:rsidRPr="003A7F59" w:rsidRDefault="003A7F59" w:rsidP="003A7F59">
      <w:pPr>
        <w:pStyle w:val="PargrafodaLista"/>
        <w:numPr>
          <w:ilvl w:val="0"/>
          <w:numId w:val="25"/>
        </w:numPr>
        <w:spacing w:line="276" w:lineRule="auto"/>
        <w:rPr>
          <w:rFonts w:ascii="Arial" w:hAnsi="Arial" w:cs="Arial"/>
          <w:sz w:val="22"/>
          <w:szCs w:val="22"/>
        </w:rPr>
      </w:pPr>
      <w:r w:rsidRPr="003A7F59">
        <w:rPr>
          <w:rFonts w:ascii="Arial" w:hAnsi="Arial" w:cs="Arial"/>
          <w:sz w:val="22"/>
          <w:szCs w:val="22"/>
        </w:rPr>
        <w:t>Comunicação com Receita Federal do Brasil</w:t>
      </w:r>
    </w:p>
    <w:p w14:paraId="3B34601F" w14:textId="77777777" w:rsidR="003A7F59" w:rsidRDefault="003A7F59" w:rsidP="003A7F59">
      <w:pPr>
        <w:pStyle w:val="PargrafodaLista"/>
        <w:numPr>
          <w:ilvl w:val="0"/>
          <w:numId w:val="25"/>
        </w:numPr>
        <w:spacing w:line="276" w:lineRule="auto"/>
        <w:rPr>
          <w:rFonts w:ascii="Arial" w:hAnsi="Arial" w:cs="Arial"/>
          <w:sz w:val="22"/>
          <w:szCs w:val="22"/>
        </w:rPr>
      </w:pPr>
      <w:r w:rsidRPr="003A7F59">
        <w:rPr>
          <w:rFonts w:ascii="Arial" w:hAnsi="Arial" w:cs="Arial"/>
          <w:sz w:val="22"/>
          <w:szCs w:val="22"/>
        </w:rPr>
        <w:t xml:space="preserve">Acesso ao </w:t>
      </w:r>
      <w:proofErr w:type="spellStart"/>
      <w:r w:rsidRPr="003A7F59">
        <w:rPr>
          <w:rFonts w:ascii="Arial" w:hAnsi="Arial" w:cs="Arial"/>
          <w:sz w:val="22"/>
          <w:szCs w:val="22"/>
        </w:rPr>
        <w:t>eSocial</w:t>
      </w:r>
      <w:proofErr w:type="spellEnd"/>
      <w:r w:rsidRPr="003A7F59">
        <w:rPr>
          <w:rFonts w:ascii="Arial" w:hAnsi="Arial" w:cs="Arial"/>
          <w:sz w:val="22"/>
          <w:szCs w:val="22"/>
        </w:rPr>
        <w:t>.</w:t>
      </w:r>
    </w:p>
    <w:p w14:paraId="461983CA" w14:textId="77777777" w:rsidR="003A7F59" w:rsidRDefault="003A7F59" w:rsidP="003A7F59">
      <w:pPr>
        <w:pStyle w:val="PargrafodaLista"/>
        <w:numPr>
          <w:ilvl w:val="0"/>
          <w:numId w:val="25"/>
        </w:numPr>
        <w:spacing w:line="276" w:lineRule="auto"/>
        <w:rPr>
          <w:rFonts w:ascii="Arial" w:hAnsi="Arial" w:cs="Arial"/>
          <w:sz w:val="22"/>
          <w:szCs w:val="22"/>
        </w:rPr>
      </w:pPr>
      <w:r w:rsidRPr="003A7F59">
        <w:rPr>
          <w:rFonts w:ascii="Arial" w:hAnsi="Arial" w:cs="Arial"/>
          <w:sz w:val="22"/>
          <w:szCs w:val="22"/>
        </w:rPr>
        <w:t>Acesso ao Conectividade Social.</w:t>
      </w:r>
    </w:p>
    <w:p w14:paraId="2C208356" w14:textId="69C50339" w:rsidR="003A7F59" w:rsidRPr="003A7F59" w:rsidRDefault="003A7F59" w:rsidP="003A7F59">
      <w:pPr>
        <w:pStyle w:val="PargrafodaLista"/>
        <w:numPr>
          <w:ilvl w:val="0"/>
          <w:numId w:val="25"/>
        </w:numPr>
        <w:spacing w:line="276" w:lineRule="auto"/>
        <w:rPr>
          <w:rFonts w:ascii="Arial" w:hAnsi="Arial" w:cs="Arial"/>
          <w:sz w:val="22"/>
          <w:szCs w:val="22"/>
        </w:rPr>
      </w:pPr>
      <w:r w:rsidRPr="003A7F59">
        <w:rPr>
          <w:rFonts w:ascii="Arial" w:hAnsi="Arial" w:cs="Arial"/>
          <w:sz w:val="22"/>
          <w:szCs w:val="22"/>
        </w:rPr>
        <w:t xml:space="preserve"> Autenticação em sites, inclusive de bancos </w:t>
      </w:r>
    </w:p>
    <w:p w14:paraId="5CD4EC5D" w14:textId="77777777" w:rsidR="003A7F59" w:rsidRDefault="003A7F59" w:rsidP="003A7F59">
      <w:pPr>
        <w:pStyle w:val="PargrafodaLista"/>
        <w:spacing w:line="276" w:lineRule="auto"/>
        <w:ind w:left="0"/>
        <w:jc w:val="both"/>
        <w:rPr>
          <w:rFonts w:ascii="Arial" w:hAnsi="Arial" w:cs="Arial"/>
          <w:b/>
          <w:sz w:val="22"/>
          <w:szCs w:val="22"/>
          <w:u w:val="single"/>
        </w:rPr>
      </w:pPr>
    </w:p>
    <w:p w14:paraId="1C9AAB2A" w14:textId="0F4A44FB" w:rsidR="003A7F59" w:rsidRDefault="003A7F59" w:rsidP="00004A1A">
      <w:pPr>
        <w:ind w:firstLine="360"/>
        <w:rPr>
          <w:rFonts w:ascii="Arial" w:hAnsi="Arial" w:cs="Arial"/>
          <w:bCs/>
          <w:sz w:val="22"/>
          <w:szCs w:val="22"/>
          <w:shd w:val="clear" w:color="auto" w:fill="FFFFFF"/>
        </w:rPr>
      </w:pPr>
      <w:r w:rsidRPr="00004A1A">
        <w:rPr>
          <w:rFonts w:ascii="Arial" w:hAnsi="Arial" w:cs="Arial"/>
          <w:bCs/>
          <w:sz w:val="22"/>
          <w:szCs w:val="22"/>
          <w:shd w:val="clear" w:color="auto" w:fill="FFFFFF"/>
        </w:rPr>
        <w:t>O fornecimento será fracionado</w:t>
      </w:r>
      <w:r w:rsidR="00004A1A" w:rsidRPr="00004A1A">
        <w:rPr>
          <w:rFonts w:ascii="Arial" w:hAnsi="Arial" w:cs="Arial"/>
          <w:bCs/>
          <w:sz w:val="22"/>
          <w:szCs w:val="22"/>
          <w:shd w:val="clear" w:color="auto" w:fill="FFFFFF"/>
        </w:rPr>
        <w:t>,</w:t>
      </w:r>
      <w:r w:rsidRPr="00004A1A">
        <w:rPr>
          <w:rFonts w:ascii="Arial" w:hAnsi="Arial" w:cs="Arial"/>
          <w:bCs/>
          <w:sz w:val="22"/>
          <w:szCs w:val="22"/>
          <w:shd w:val="clear" w:color="auto" w:fill="FFFFFF"/>
        </w:rPr>
        <w:t xml:space="preserve"> conforme a demanda.</w:t>
      </w:r>
    </w:p>
    <w:p w14:paraId="2E44F9E8" w14:textId="77777777" w:rsidR="00004A1A" w:rsidRDefault="00004A1A" w:rsidP="00004A1A">
      <w:pPr>
        <w:ind w:firstLine="360"/>
        <w:rPr>
          <w:rFonts w:ascii="Arial" w:hAnsi="Arial" w:cs="Arial"/>
          <w:bCs/>
          <w:sz w:val="22"/>
          <w:szCs w:val="22"/>
          <w:shd w:val="clear" w:color="auto" w:fill="FFFFFF"/>
        </w:rPr>
      </w:pPr>
    </w:p>
    <w:p w14:paraId="13C89E32" w14:textId="78CC0266" w:rsidR="00004A1A" w:rsidRPr="00004A1A" w:rsidRDefault="0028303A" w:rsidP="00004A1A">
      <w:pPr>
        <w:ind w:firstLine="360"/>
        <w:rPr>
          <w:rFonts w:ascii="Arial" w:hAnsi="Arial" w:cs="Arial"/>
          <w:b/>
          <w:sz w:val="22"/>
          <w:szCs w:val="22"/>
          <w:shd w:val="clear" w:color="auto" w:fill="FFFFFF"/>
        </w:rPr>
      </w:pPr>
      <w:r>
        <w:rPr>
          <w:rFonts w:ascii="Arial" w:hAnsi="Arial" w:cs="Arial"/>
          <w:b/>
          <w:sz w:val="22"/>
          <w:szCs w:val="22"/>
          <w:shd w:val="clear" w:color="auto" w:fill="FFFFFF"/>
        </w:rPr>
        <w:t xml:space="preserve">1.1. </w:t>
      </w:r>
      <w:r w:rsidR="00004A1A" w:rsidRPr="00004A1A">
        <w:rPr>
          <w:rFonts w:ascii="Arial" w:hAnsi="Arial" w:cs="Arial"/>
          <w:b/>
          <w:sz w:val="22"/>
          <w:szCs w:val="22"/>
          <w:shd w:val="clear" w:color="auto" w:fill="FFFFFF"/>
        </w:rPr>
        <w:t>Da validação:</w:t>
      </w:r>
    </w:p>
    <w:p w14:paraId="042AF6C8" w14:textId="77777777" w:rsidR="00004A1A" w:rsidRPr="00004A1A" w:rsidRDefault="00004A1A" w:rsidP="00004A1A">
      <w:pPr>
        <w:ind w:firstLine="360"/>
        <w:rPr>
          <w:rFonts w:ascii="Arial" w:hAnsi="Arial" w:cs="Arial"/>
          <w:bCs/>
          <w:sz w:val="22"/>
          <w:szCs w:val="22"/>
          <w:shd w:val="clear" w:color="auto" w:fill="FFFFFF"/>
        </w:rPr>
      </w:pPr>
    </w:p>
    <w:p w14:paraId="58336F26" w14:textId="77777777" w:rsidR="00004A1A" w:rsidRDefault="00004A1A" w:rsidP="00004A1A">
      <w:pPr>
        <w:spacing w:after="120" w:line="276" w:lineRule="auto"/>
        <w:ind w:firstLine="426"/>
        <w:jc w:val="both"/>
        <w:rPr>
          <w:rFonts w:ascii="Arial" w:hAnsi="Arial" w:cs="Arial"/>
          <w:sz w:val="22"/>
          <w:szCs w:val="22"/>
        </w:rPr>
      </w:pPr>
      <w:r w:rsidRPr="00004A1A">
        <w:rPr>
          <w:rFonts w:ascii="Arial" w:hAnsi="Arial" w:cs="Arial"/>
          <w:sz w:val="22"/>
          <w:szCs w:val="22"/>
        </w:rPr>
        <w:t xml:space="preserve">A validação presencial </w:t>
      </w:r>
      <w:r>
        <w:rPr>
          <w:rFonts w:ascii="Arial" w:hAnsi="Arial" w:cs="Arial"/>
          <w:sz w:val="22"/>
          <w:szCs w:val="22"/>
        </w:rPr>
        <w:t xml:space="preserve">para 03 (três) ou mais tokens solicitados simultaneamente </w:t>
      </w:r>
      <w:r w:rsidRPr="00004A1A">
        <w:rPr>
          <w:rFonts w:ascii="Arial" w:hAnsi="Arial" w:cs="Arial"/>
          <w:sz w:val="22"/>
          <w:szCs w:val="22"/>
        </w:rPr>
        <w:t>deverá ocorrer</w:t>
      </w:r>
      <w:r>
        <w:rPr>
          <w:rFonts w:ascii="Arial" w:hAnsi="Arial" w:cs="Arial"/>
          <w:sz w:val="22"/>
          <w:szCs w:val="22"/>
        </w:rPr>
        <w:t xml:space="preserve"> </w:t>
      </w:r>
      <w:r w:rsidRPr="00004A1A">
        <w:rPr>
          <w:rFonts w:ascii="Arial" w:hAnsi="Arial" w:cs="Arial"/>
          <w:sz w:val="22"/>
          <w:szCs w:val="22"/>
        </w:rPr>
        <w:t>na sede da Câmara Municipal</w:t>
      </w:r>
      <w:r>
        <w:rPr>
          <w:rFonts w:ascii="Arial" w:hAnsi="Arial" w:cs="Arial"/>
          <w:sz w:val="22"/>
          <w:szCs w:val="22"/>
        </w:rPr>
        <w:t xml:space="preserve"> sem custo adicional;</w:t>
      </w:r>
    </w:p>
    <w:p w14:paraId="1E614DED" w14:textId="21F6BA15" w:rsidR="00004A1A" w:rsidRDefault="00004A1A" w:rsidP="00004A1A">
      <w:pPr>
        <w:spacing w:after="120" w:line="276" w:lineRule="auto"/>
        <w:ind w:firstLine="426"/>
        <w:jc w:val="both"/>
        <w:rPr>
          <w:rFonts w:ascii="Arial" w:hAnsi="Arial" w:cs="Arial"/>
          <w:sz w:val="22"/>
          <w:szCs w:val="22"/>
        </w:rPr>
      </w:pPr>
      <w:r>
        <w:rPr>
          <w:rFonts w:ascii="Arial" w:hAnsi="Arial" w:cs="Arial"/>
          <w:sz w:val="22"/>
          <w:szCs w:val="22"/>
        </w:rPr>
        <w:t>A validação presencial para um ou dois tokens solicitado simultaneamente poderá ser feito em pontos de cadastro da contratada, contando que estes existam em um raio de no máximo 10,0 quilômetros da sede da contratante. Caso contrário, a contrata</w:t>
      </w:r>
      <w:r w:rsidR="0028303A">
        <w:rPr>
          <w:rFonts w:ascii="Arial" w:hAnsi="Arial" w:cs="Arial"/>
          <w:sz w:val="22"/>
          <w:szCs w:val="22"/>
        </w:rPr>
        <w:t>da</w:t>
      </w:r>
      <w:r>
        <w:rPr>
          <w:rFonts w:ascii="Arial" w:hAnsi="Arial" w:cs="Arial"/>
          <w:sz w:val="22"/>
          <w:szCs w:val="22"/>
        </w:rPr>
        <w:t xml:space="preserve"> deverá </w:t>
      </w:r>
      <w:r w:rsidR="0028303A">
        <w:rPr>
          <w:rFonts w:ascii="Arial" w:hAnsi="Arial" w:cs="Arial"/>
          <w:sz w:val="22"/>
          <w:szCs w:val="22"/>
        </w:rPr>
        <w:t>realizar a validação na sede da contratante, conforme acima.</w:t>
      </w:r>
    </w:p>
    <w:p w14:paraId="5D23F9A6" w14:textId="48447DA3" w:rsidR="00004A1A" w:rsidRPr="00004A1A" w:rsidRDefault="00004A1A" w:rsidP="00004A1A">
      <w:pPr>
        <w:spacing w:after="120" w:line="276" w:lineRule="auto"/>
        <w:ind w:firstLine="426"/>
        <w:jc w:val="both"/>
        <w:rPr>
          <w:rFonts w:ascii="Arial" w:hAnsi="Arial" w:cs="Arial"/>
          <w:sz w:val="22"/>
          <w:szCs w:val="22"/>
        </w:rPr>
      </w:pPr>
      <w:r>
        <w:rPr>
          <w:rFonts w:ascii="Arial" w:hAnsi="Arial" w:cs="Arial"/>
          <w:sz w:val="22"/>
          <w:szCs w:val="22"/>
        </w:rPr>
        <w:t>A validação poderá ainda ser feita por videoconferência, quando possível.</w:t>
      </w:r>
    </w:p>
    <w:p w14:paraId="1CF28191" w14:textId="77777777" w:rsidR="00004A1A" w:rsidRPr="00004A1A" w:rsidRDefault="00004A1A" w:rsidP="003A7F59">
      <w:pPr>
        <w:pStyle w:val="PargrafodaLista"/>
        <w:ind w:left="792"/>
        <w:rPr>
          <w:rFonts w:ascii="Arial" w:hAnsi="Arial" w:cs="Arial"/>
          <w:bCs/>
          <w:sz w:val="22"/>
          <w:szCs w:val="22"/>
          <w:shd w:val="clear" w:color="auto" w:fill="FFFFFF"/>
        </w:rPr>
      </w:pPr>
    </w:p>
    <w:p w14:paraId="6B0792E1" w14:textId="77777777" w:rsidR="003A7F59" w:rsidRPr="003A7F59" w:rsidRDefault="003A7F59" w:rsidP="003A7F59">
      <w:pPr>
        <w:pStyle w:val="PargrafodaLista"/>
        <w:spacing w:line="276" w:lineRule="auto"/>
        <w:ind w:left="0"/>
        <w:jc w:val="both"/>
        <w:rPr>
          <w:rFonts w:ascii="Arial" w:hAnsi="Arial" w:cs="Arial"/>
          <w:b/>
          <w:sz w:val="22"/>
          <w:szCs w:val="22"/>
          <w:u w:val="single"/>
        </w:rPr>
      </w:pPr>
    </w:p>
    <w:p w14:paraId="6285AA5A" w14:textId="5C9172B9" w:rsidR="00E253F1" w:rsidRPr="003A7F59" w:rsidRDefault="005A2D15" w:rsidP="0028303A">
      <w:pPr>
        <w:pStyle w:val="Nvel02"/>
        <w:numPr>
          <w:ilvl w:val="1"/>
          <w:numId w:val="26"/>
        </w:numPr>
      </w:pPr>
      <w:r w:rsidRPr="0028303A">
        <w:lastRenderedPageBreak/>
        <w:t>QUANTIFICAÇÃO</w:t>
      </w:r>
      <w:r w:rsidR="00E253F1" w:rsidRPr="003A7F59">
        <w:t>:</w:t>
      </w: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EF4D13">
        <w:tc>
          <w:tcPr>
            <w:tcW w:w="864" w:type="dxa"/>
          </w:tcPr>
          <w:p w14:paraId="3EC53098"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EF4D13">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EF4D13">
        <w:tc>
          <w:tcPr>
            <w:tcW w:w="864" w:type="dxa"/>
          </w:tcPr>
          <w:p w14:paraId="470CAA26" w14:textId="77777777" w:rsidR="00E253F1" w:rsidRPr="005874B7" w:rsidRDefault="00E253F1" w:rsidP="00EF4D13">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33513267" w14:textId="77777777" w:rsidR="003A7F59" w:rsidRPr="003A7F59" w:rsidRDefault="003A7F59" w:rsidP="003A7F59">
            <w:pPr>
              <w:spacing w:line="276" w:lineRule="auto"/>
              <w:jc w:val="both"/>
              <w:rPr>
                <w:rFonts w:ascii="Arial" w:hAnsi="Arial" w:cs="Arial"/>
                <w:sz w:val="22"/>
                <w:szCs w:val="22"/>
              </w:rPr>
            </w:pPr>
            <w:r w:rsidRPr="003A7F59">
              <w:rPr>
                <w:rFonts w:ascii="Arial" w:hAnsi="Arial" w:cs="Arial"/>
                <w:sz w:val="22"/>
                <w:szCs w:val="22"/>
                <w:shd w:val="clear" w:color="auto" w:fill="FFFFFF"/>
              </w:rPr>
              <w:t>e-</w:t>
            </w:r>
            <w:proofErr w:type="spellStart"/>
            <w:proofErr w:type="gramStart"/>
            <w:r w:rsidRPr="003A7F59">
              <w:rPr>
                <w:rFonts w:ascii="Arial" w:hAnsi="Arial" w:cs="Arial"/>
                <w:sz w:val="22"/>
                <w:szCs w:val="22"/>
                <w:shd w:val="clear" w:color="auto" w:fill="FFFFFF"/>
              </w:rPr>
              <w:t>cpf</w:t>
            </w:r>
            <w:proofErr w:type="spellEnd"/>
            <w:proofErr w:type="gramEnd"/>
            <w:r w:rsidRPr="003A7F59">
              <w:rPr>
                <w:rFonts w:ascii="Arial" w:hAnsi="Arial" w:cs="Arial"/>
                <w:sz w:val="22"/>
                <w:szCs w:val="22"/>
                <w:shd w:val="clear" w:color="auto" w:fill="FFFFFF"/>
              </w:rPr>
              <w:t xml:space="preserve"> A3, </w:t>
            </w:r>
            <w:r w:rsidRPr="003A7F59">
              <w:rPr>
                <w:rFonts w:ascii="Arial" w:hAnsi="Arial" w:cs="Arial"/>
                <w:bCs/>
                <w:i/>
                <w:sz w:val="22"/>
                <w:szCs w:val="22"/>
              </w:rPr>
              <w:t>padrão ICP Brasil, com validade de 36 (trinta e seis) meses, armazenados em token.</w:t>
            </w:r>
            <w:r w:rsidRPr="003A7F59">
              <w:rPr>
                <w:rFonts w:ascii="Arial" w:hAnsi="Arial" w:cs="Arial"/>
                <w:sz w:val="22"/>
                <w:szCs w:val="22"/>
              </w:rPr>
              <w:t xml:space="preserve"> </w:t>
            </w:r>
          </w:p>
          <w:p w14:paraId="4BE844BA" w14:textId="4D0755E2" w:rsidR="00E253F1" w:rsidRPr="005874B7" w:rsidRDefault="00E253F1" w:rsidP="00EF4D13">
            <w:pPr>
              <w:pStyle w:val="PargrafodaLista"/>
              <w:spacing w:line="276" w:lineRule="auto"/>
              <w:ind w:left="0"/>
              <w:jc w:val="both"/>
              <w:rPr>
                <w:rFonts w:ascii="Arial" w:hAnsi="Arial" w:cs="Arial"/>
                <w:sz w:val="22"/>
                <w:szCs w:val="22"/>
                <w:shd w:val="clear" w:color="auto" w:fill="FFFFFF"/>
              </w:rPr>
            </w:pPr>
          </w:p>
        </w:tc>
        <w:tc>
          <w:tcPr>
            <w:tcW w:w="1568" w:type="dxa"/>
          </w:tcPr>
          <w:p w14:paraId="28A17401" w14:textId="50439AD1" w:rsidR="00E253F1" w:rsidRPr="005874B7" w:rsidRDefault="003A7F59" w:rsidP="00EF4D13">
            <w:pPr>
              <w:pStyle w:val="PargrafodaLista"/>
              <w:spacing w:line="276" w:lineRule="auto"/>
              <w:ind w:left="0"/>
              <w:jc w:val="center"/>
              <w:rPr>
                <w:rFonts w:ascii="Arial" w:hAnsi="Arial" w:cs="Arial"/>
                <w:b/>
                <w:sz w:val="22"/>
                <w:szCs w:val="22"/>
              </w:rPr>
            </w:pPr>
            <w:r>
              <w:rPr>
                <w:rFonts w:ascii="Arial" w:hAnsi="Arial" w:cs="Arial"/>
                <w:b/>
                <w:sz w:val="22"/>
                <w:szCs w:val="22"/>
              </w:rPr>
              <w:t>20</w:t>
            </w:r>
          </w:p>
          <w:p w14:paraId="54EC1B6F" w14:textId="77777777" w:rsidR="00E253F1" w:rsidRPr="005874B7" w:rsidRDefault="00E253F1" w:rsidP="00EF4D13">
            <w:pPr>
              <w:pStyle w:val="PargrafodaLista"/>
              <w:spacing w:line="276" w:lineRule="auto"/>
              <w:ind w:left="0"/>
              <w:jc w:val="center"/>
              <w:rPr>
                <w:rFonts w:ascii="Arial" w:hAnsi="Arial" w:cs="Arial"/>
                <w:b/>
                <w:sz w:val="22"/>
                <w:szCs w:val="22"/>
              </w:rPr>
            </w:pPr>
          </w:p>
        </w:tc>
      </w:tr>
    </w:tbl>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345A388E" w:rsidR="008D29B6" w:rsidRPr="008D29B6" w:rsidRDefault="0028303A"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2C9634B2" w14:textId="77777777" w:rsidR="008D29B6" w:rsidRPr="005874B7" w:rsidRDefault="008D29B6"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09610D15" w14:textId="77777777" w:rsidR="00E253F1" w:rsidRPr="005874B7" w:rsidRDefault="00E253F1" w:rsidP="00E253F1">
      <w:pPr>
        <w:pStyle w:val="PargrafodaLista"/>
        <w:spacing w:line="276" w:lineRule="auto"/>
        <w:ind w:left="360" w:firstLine="567"/>
        <w:jc w:val="both"/>
        <w:rPr>
          <w:rFonts w:ascii="Arial" w:hAnsi="Arial" w:cs="Arial"/>
          <w:b/>
          <w:sz w:val="22"/>
          <w:szCs w:val="22"/>
          <w:u w:val="single"/>
        </w:rPr>
      </w:pPr>
    </w:p>
    <w:p w14:paraId="72278F82" w14:textId="77777777" w:rsidR="0028303A" w:rsidRPr="0028303A" w:rsidRDefault="0028303A" w:rsidP="00E253F1">
      <w:pPr>
        <w:pStyle w:val="PargrafodaLista"/>
        <w:numPr>
          <w:ilvl w:val="1"/>
          <w:numId w:val="9"/>
        </w:numPr>
        <w:spacing w:line="276" w:lineRule="auto"/>
        <w:ind w:left="0" w:firstLine="567"/>
        <w:jc w:val="both"/>
        <w:rPr>
          <w:rFonts w:ascii="Arial" w:hAnsi="Arial" w:cs="Arial"/>
          <w:sz w:val="22"/>
          <w:szCs w:val="22"/>
        </w:rPr>
      </w:pPr>
      <w:r w:rsidRPr="0028303A">
        <w:rPr>
          <w:rFonts w:ascii="Arial" w:hAnsi="Arial" w:cs="Arial"/>
          <w:sz w:val="22"/>
          <w:szCs w:val="22"/>
        </w:rPr>
        <w:t xml:space="preserve">Considerando que atualmente a grande maioria das interações entre órgão é feita via documentos eletrônicos, considerando que as assinaturas eletrônicas do sistema de processo eletrônico interno da Câmara não são aceitas por órgãos externos, e considerando que os serviços de fornecimentos destas assinaturas atualmente em vigor estão prestes a expirar, é imperativa a necessidade de assinaturas eletrônicas no padrão ICP Brasil para funcionários ocupando cargos chaves desta Casa, de modo que os documentos assinados por estes tenham validade incontestável perante órgãos externos. </w:t>
      </w:r>
    </w:p>
    <w:p w14:paraId="6B3F96E6" w14:textId="56E0555F"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28303A">
        <w:rPr>
          <w:rFonts w:ascii="Arial" w:hAnsi="Arial" w:cs="Arial"/>
          <w:sz w:val="22"/>
          <w:szCs w:val="22"/>
        </w:rPr>
        <w:t xml:space="preserve">O presente Termo de Referência </w:t>
      </w:r>
      <w:r w:rsidRPr="0028303A">
        <w:rPr>
          <w:rFonts w:ascii="Arial" w:hAnsi="Arial" w:cs="Arial"/>
          <w:b/>
          <w:sz w:val="22"/>
          <w:szCs w:val="22"/>
        </w:rPr>
        <w:t>não possui estudo técnico preliminar</w:t>
      </w:r>
      <w:r w:rsidRPr="0028303A">
        <w:rPr>
          <w:rFonts w:ascii="Arial" w:hAnsi="Arial" w:cs="Arial"/>
          <w:sz w:val="22"/>
          <w:szCs w:val="22"/>
        </w:rPr>
        <w:t xml:space="preserve"> em razão do valor da contratação</w:t>
      </w:r>
      <w:r w:rsidRPr="005874B7">
        <w:rPr>
          <w:rFonts w:ascii="Arial" w:hAnsi="Arial" w:cs="Arial"/>
          <w:sz w:val="22"/>
          <w:szCs w:val="22"/>
        </w:rPr>
        <w:t>.</w:t>
      </w:r>
    </w:p>
    <w:p w14:paraId="018CDF3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1535FC1" w:rsidR="00E253F1" w:rsidRDefault="0028303A" w:rsidP="007366F1">
      <w:pPr>
        <w:pStyle w:val="Ttulo1"/>
        <w:numPr>
          <w:ilvl w:val="2"/>
          <w:numId w:val="9"/>
        </w:numPr>
        <w:spacing w:line="276" w:lineRule="auto"/>
        <w:ind w:left="0" w:firstLine="851"/>
        <w:jc w:val="both"/>
        <w:rPr>
          <w:b w:val="0"/>
          <w:sz w:val="22"/>
          <w:szCs w:val="22"/>
        </w:rPr>
      </w:pPr>
      <w:r>
        <w:rPr>
          <w:b w:val="0"/>
          <w:sz w:val="22"/>
          <w:szCs w:val="22"/>
        </w:rPr>
        <w:t xml:space="preserve">Quando tratar-se de </w:t>
      </w:r>
      <w:r w:rsidR="00E253F1" w:rsidRPr="005874B7">
        <w:rPr>
          <w:b w:val="0"/>
          <w:sz w:val="22"/>
          <w:szCs w:val="22"/>
        </w:rPr>
        <w:t>Serviços</w:t>
      </w:r>
      <w:r w:rsidR="00625ADF" w:rsidRPr="005874B7">
        <w:rPr>
          <w:b w:val="0"/>
          <w:sz w:val="22"/>
          <w:szCs w:val="22"/>
        </w:rPr>
        <w:t>:</w:t>
      </w:r>
    </w:p>
    <w:p w14:paraId="4D20E31D" w14:textId="06E4A0D8" w:rsidR="00E253F1"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prestação desses serviços;</w:t>
      </w:r>
    </w:p>
    <w:p w14:paraId="100B7A9F" w14:textId="77777777" w:rsidR="00DD0B02" w:rsidRDefault="00DD0B02" w:rsidP="00DD0B02">
      <w:pPr>
        <w:pStyle w:val="Ttulo1"/>
        <w:numPr>
          <w:ilvl w:val="3"/>
          <w:numId w:val="9"/>
        </w:numPr>
        <w:spacing w:line="276" w:lineRule="auto"/>
        <w:ind w:left="0" w:firstLine="1134"/>
        <w:jc w:val="both"/>
        <w:rPr>
          <w:b w:val="0"/>
          <w:sz w:val="22"/>
          <w:szCs w:val="22"/>
          <w:u w:val="none"/>
        </w:rPr>
      </w:pPr>
      <w:r>
        <w:rPr>
          <w:b w:val="0"/>
          <w:sz w:val="22"/>
          <w:szCs w:val="22"/>
          <w:u w:val="none"/>
        </w:rPr>
        <w:t xml:space="preserve">O prazo de conclusão do(s) serviço(s) será de </w:t>
      </w:r>
      <w:r w:rsidRPr="00B25A8B">
        <w:rPr>
          <w:b w:val="0"/>
          <w:sz w:val="22"/>
          <w:szCs w:val="22"/>
          <w:u w:val="none"/>
        </w:rPr>
        <w:t>60 (sessenta) dias corridos</w:t>
      </w:r>
      <w:r>
        <w:rPr>
          <w:b w:val="0"/>
          <w:sz w:val="22"/>
          <w:szCs w:val="22"/>
          <w:u w:val="none"/>
        </w:rPr>
        <w:t xml:space="preserve"> </w:t>
      </w:r>
      <w:r w:rsidRPr="005874B7">
        <w:rPr>
          <w:b w:val="0"/>
          <w:sz w:val="22"/>
          <w:szCs w:val="22"/>
          <w:u w:val="none"/>
        </w:rPr>
        <w:t>a partir do início dos trabalhos</w:t>
      </w:r>
      <w:r>
        <w:rPr>
          <w:b w:val="0"/>
          <w:sz w:val="22"/>
          <w:szCs w:val="22"/>
          <w:u w:val="none"/>
        </w:rPr>
        <w:t xml:space="preserve">, </w:t>
      </w:r>
      <w:r w:rsidRPr="005874B7">
        <w:rPr>
          <w:b w:val="0"/>
          <w:sz w:val="22"/>
          <w:szCs w:val="22"/>
          <w:u w:val="none"/>
        </w:rPr>
        <w:t>que poderá ser prorrogado mediante apresentação de justificativa (escrita), que será analisada e deliberada pela Câmara</w:t>
      </w:r>
      <w:r>
        <w:rPr>
          <w:b w:val="0"/>
          <w:sz w:val="22"/>
          <w:szCs w:val="22"/>
          <w:u w:val="none"/>
        </w:rPr>
        <w:t>.</w:t>
      </w:r>
    </w:p>
    <w:p w14:paraId="236BDCD6" w14:textId="77777777" w:rsidR="00DD0B02" w:rsidRPr="00DD0B02" w:rsidRDefault="00DD0B02" w:rsidP="00DD0B02"/>
    <w:p w14:paraId="3420B7AA" w14:textId="603C85B1" w:rsidR="00E253F1" w:rsidRPr="005874B7" w:rsidRDefault="0028303A" w:rsidP="007366F1">
      <w:pPr>
        <w:pStyle w:val="Ttulo1"/>
        <w:numPr>
          <w:ilvl w:val="2"/>
          <w:numId w:val="9"/>
        </w:numPr>
        <w:spacing w:line="276" w:lineRule="auto"/>
        <w:ind w:left="0" w:firstLine="851"/>
        <w:jc w:val="both"/>
        <w:rPr>
          <w:b w:val="0"/>
          <w:sz w:val="22"/>
          <w:szCs w:val="22"/>
        </w:rPr>
      </w:pPr>
      <w:r>
        <w:rPr>
          <w:b w:val="0"/>
          <w:sz w:val="22"/>
          <w:szCs w:val="22"/>
        </w:rPr>
        <w:lastRenderedPageBreak/>
        <w:t xml:space="preserve">Quando tratar-se de </w:t>
      </w:r>
      <w:r w:rsidR="00E253F1" w:rsidRPr="005874B7">
        <w:rPr>
          <w:b w:val="0"/>
          <w:sz w:val="22"/>
          <w:szCs w:val="22"/>
        </w:rPr>
        <w:t>Material</w:t>
      </w:r>
      <w:r w:rsidR="00625ADF" w:rsidRPr="005874B7">
        <w:rPr>
          <w:b w:val="0"/>
          <w:sz w:val="22"/>
          <w:szCs w:val="22"/>
        </w:rPr>
        <w:t>:</w:t>
      </w:r>
      <w:r w:rsidR="00E253F1"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067F3379" w14:textId="6B5187A6" w:rsidR="003D7816" w:rsidRPr="003D7816" w:rsidRDefault="00E253F1" w:rsidP="0028303A">
      <w:pPr>
        <w:pStyle w:val="Ttulo1"/>
        <w:numPr>
          <w:ilvl w:val="3"/>
          <w:numId w:val="9"/>
        </w:numPr>
        <w:spacing w:line="276" w:lineRule="auto"/>
        <w:jc w:val="both"/>
      </w:pPr>
      <w:r w:rsidRPr="0028303A">
        <w:rPr>
          <w:b w:val="0"/>
          <w:sz w:val="22"/>
          <w:szCs w:val="22"/>
          <w:u w:val="none"/>
        </w:rPr>
        <w:t xml:space="preserve"> </w:t>
      </w:r>
      <w:r w:rsidR="0061057D" w:rsidRPr="0028303A">
        <w:rPr>
          <w:rStyle w:val="CorpoTextoChar"/>
          <w:rFonts w:eastAsia="Arial"/>
          <w:b w:val="0"/>
          <w:u w:val="none"/>
        </w:rPr>
        <w:t>No caso de produtos perecíveis, o prazo de validade na data da entrega não poderá ser inferior a 1 (anos);</w:t>
      </w:r>
      <w:r w:rsidR="0061057D" w:rsidRPr="0028303A">
        <w:rPr>
          <w:b w:val="0"/>
          <w:sz w:val="22"/>
          <w:szCs w:val="22"/>
          <w:u w:val="none"/>
        </w:rPr>
        <w:t xml:space="preserve"> </w:t>
      </w:r>
    </w:p>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6D24091C" w14:textId="7C03C49F" w:rsidR="00E253F1" w:rsidRPr="005874B7" w:rsidRDefault="00DD0B02" w:rsidP="00E253F1">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E253F1"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t>O prazo de validade da proposta não será inferior a 60 (sessenta) dias,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404DA62E" w14:textId="77777777" w:rsidR="00FC563D" w:rsidRPr="00FC563D" w:rsidRDefault="00FC563D" w:rsidP="00FC563D"/>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lastRenderedPageBreak/>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t xml:space="preserve">Fiscal </w:t>
      </w:r>
      <w:r w:rsidR="009078DC">
        <w:rPr>
          <w:b w:val="0"/>
        </w:rPr>
        <w:t>Técnico</w:t>
      </w:r>
      <w:r w:rsidRPr="00757142">
        <w:rPr>
          <w:b w:val="0"/>
        </w:rPr>
        <w:t>:</w:t>
      </w:r>
    </w:p>
    <w:p w14:paraId="38CAEACF" w14:textId="03B7E1F8"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 xml:space="preserve">Setor Requisitante, ou, na sua ausência, </w:t>
      </w:r>
      <w:r w:rsidR="0028303A">
        <w:rPr>
          <w:b w:val="0"/>
          <w:sz w:val="22"/>
          <w:szCs w:val="22"/>
          <w:u w:val="none"/>
        </w:rPr>
        <w:t>outro será nomeado em seu lugar</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lastRenderedPageBreak/>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28303A" w:rsidRDefault="003E403D" w:rsidP="0028303A">
      <w:pPr>
        <w:pStyle w:val="Nvel02"/>
        <w:rPr>
          <w:rStyle w:val="normaltextrun"/>
          <w:sz w:val="22"/>
          <w:szCs w:val="22"/>
        </w:rPr>
      </w:pPr>
      <w:r w:rsidRPr="0028303A">
        <w:rPr>
          <w:rStyle w:val="normaltextrun"/>
          <w:color w:val="000000"/>
          <w:sz w:val="22"/>
          <w:szCs w:val="22"/>
        </w:rPr>
        <w:t xml:space="preserve">Comete </w:t>
      </w:r>
      <w:r w:rsidRPr="0028303A">
        <w:rPr>
          <w:sz w:val="22"/>
          <w:szCs w:val="22"/>
        </w:rPr>
        <w:t>infração</w:t>
      </w:r>
      <w:r w:rsidRPr="0028303A">
        <w:rPr>
          <w:rStyle w:val="normaltextrun"/>
          <w:color w:val="000000"/>
          <w:sz w:val="22"/>
          <w:szCs w:val="22"/>
        </w:rPr>
        <w:t xml:space="preserve"> administrativa, nos termos da </w:t>
      </w:r>
      <w:r w:rsidRPr="0028303A">
        <w:rPr>
          <w:rStyle w:val="normaltextrun"/>
          <w:sz w:val="22"/>
          <w:szCs w:val="22"/>
        </w:rPr>
        <w:t>Lei nº 14.133, de 2021</w:t>
      </w:r>
      <w:r w:rsidRPr="0028303A">
        <w:rPr>
          <w:rStyle w:val="normaltextrun"/>
          <w:color w:val="000000"/>
          <w:sz w:val="22"/>
          <w:szCs w:val="22"/>
        </w:rPr>
        <w:t>, o Contratado que:</w:t>
      </w:r>
    </w:p>
    <w:p w14:paraId="1E9C16A6" w14:textId="77777777" w:rsidR="00195039" w:rsidRPr="0028303A"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28303A">
        <w:rPr>
          <w:rStyle w:val="normaltextrun"/>
          <w:rFonts w:ascii="Arial" w:hAnsi="Arial"/>
          <w:sz w:val="22"/>
          <w:szCs w:val="22"/>
          <w:u w:val="single"/>
        </w:rPr>
        <w:t>der causa à inexecução parcial do contrato</w:t>
      </w:r>
      <w:r w:rsidRPr="0028303A">
        <w:rPr>
          <w:rStyle w:val="normaltextrun"/>
          <w:rFonts w:ascii="Arial" w:hAnsi="Arial"/>
          <w:sz w:val="22"/>
          <w:szCs w:val="22"/>
        </w:rPr>
        <w:t>;</w:t>
      </w:r>
    </w:p>
    <w:p w14:paraId="651D9E11" w14:textId="77777777" w:rsidR="00195039" w:rsidRPr="0028303A"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28303A">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28303A"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28303A">
        <w:rPr>
          <w:rStyle w:val="normaltextrun"/>
          <w:rFonts w:ascii="Arial" w:hAnsi="Arial"/>
          <w:b/>
          <w:sz w:val="22"/>
          <w:szCs w:val="22"/>
        </w:rPr>
        <w:t>der causa à inexecução total do contrato;</w:t>
      </w:r>
    </w:p>
    <w:p w14:paraId="600080F9" w14:textId="77777777" w:rsidR="00195039" w:rsidRPr="0028303A"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28303A">
        <w:rPr>
          <w:rStyle w:val="normaltextrun"/>
          <w:rFonts w:ascii="Arial" w:hAnsi="Arial"/>
          <w:b/>
          <w:sz w:val="22"/>
          <w:szCs w:val="22"/>
        </w:rPr>
        <w:t>ensejar o retardamento da execução ou da entrega do objeto da contratação sem motivo justificado;</w:t>
      </w:r>
    </w:p>
    <w:p w14:paraId="0E60B5C3" w14:textId="77777777" w:rsidR="00195039" w:rsidRPr="0028303A"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28303A">
        <w:rPr>
          <w:rStyle w:val="normaltextrun"/>
          <w:rFonts w:ascii="Arial" w:hAnsi="Arial"/>
          <w:b/>
          <w:sz w:val="22"/>
          <w:szCs w:val="22"/>
          <w:u w:val="single"/>
        </w:rPr>
        <w:t>apresentar documentação falsa ou prestar declaração falsa durante a execução do contrato;</w:t>
      </w:r>
    </w:p>
    <w:p w14:paraId="2F29C37F" w14:textId="095DFEC2" w:rsidR="00195039" w:rsidRPr="0028303A"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28303A">
        <w:rPr>
          <w:rStyle w:val="normaltextrun"/>
          <w:rFonts w:ascii="Arial" w:hAnsi="Arial"/>
          <w:b/>
          <w:sz w:val="22"/>
          <w:szCs w:val="22"/>
          <w:u w:val="single"/>
        </w:rPr>
        <w:t>praticar ato fraudulento na execução do contrato;</w:t>
      </w:r>
    </w:p>
    <w:p w14:paraId="703DA7D1" w14:textId="77777777" w:rsidR="00195039" w:rsidRPr="0028303A"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28303A">
        <w:rPr>
          <w:rStyle w:val="normaltextrun"/>
          <w:rFonts w:ascii="Arial" w:hAnsi="Arial"/>
          <w:b/>
          <w:sz w:val="22"/>
          <w:szCs w:val="22"/>
          <w:u w:val="single"/>
        </w:rPr>
        <w:t>comportar-se de modo inidôneo ou cometer fraude de qualquer natureza;</w:t>
      </w:r>
    </w:p>
    <w:p w14:paraId="085BDE1D" w14:textId="77777777" w:rsidR="00195039" w:rsidRPr="0028303A"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28303A">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28303A">
      <w:pPr>
        <w:pStyle w:val="Nvel02"/>
        <w:numPr>
          <w:ilvl w:val="0"/>
          <w:numId w:val="0"/>
        </w:numPr>
        <w:ind w:left="567"/>
      </w:pPr>
    </w:p>
    <w:p w14:paraId="321B8826" w14:textId="395F3C1E" w:rsidR="004D2F4F" w:rsidRPr="0028303A" w:rsidRDefault="004D2F4F" w:rsidP="0028303A">
      <w:pPr>
        <w:pStyle w:val="Nvel02"/>
        <w:rPr>
          <w:rStyle w:val="normaltextrun"/>
          <w:sz w:val="22"/>
          <w:szCs w:val="22"/>
        </w:rPr>
      </w:pPr>
      <w:r w:rsidRPr="0028303A">
        <w:rPr>
          <w:rStyle w:val="normaltextrun"/>
          <w:color w:val="000000"/>
          <w:sz w:val="22"/>
          <w:szCs w:val="22"/>
        </w:rPr>
        <w:t>Serão aplicadas ao Contratado que incorrer nas infrações acima descritas as seguintes sanções:</w:t>
      </w:r>
    </w:p>
    <w:p w14:paraId="16AE11E0" w14:textId="03EBA7C7" w:rsidR="00AB49ED" w:rsidRPr="0028303A" w:rsidRDefault="004D2F4F" w:rsidP="0028303A">
      <w:pPr>
        <w:pStyle w:val="Nvel02"/>
        <w:rPr>
          <w:rStyle w:val="normaltextrun"/>
          <w:b/>
          <w:sz w:val="22"/>
          <w:szCs w:val="22"/>
          <w:u w:val="single"/>
        </w:rPr>
      </w:pPr>
      <w:r w:rsidRPr="0028303A">
        <w:rPr>
          <w:rStyle w:val="normaltextrun"/>
          <w:color w:val="000000"/>
          <w:sz w:val="22"/>
          <w:szCs w:val="22"/>
        </w:rPr>
        <w:t xml:space="preserve"> </w:t>
      </w:r>
      <w:r w:rsidRPr="0028303A">
        <w:rPr>
          <w:rStyle w:val="normaltextrun"/>
          <w:sz w:val="22"/>
          <w:szCs w:val="22"/>
          <w:u w:val="single"/>
        </w:rPr>
        <w:t>Advertência</w:t>
      </w:r>
      <w:r w:rsidRPr="0028303A">
        <w:rPr>
          <w:rStyle w:val="normaltextrun"/>
          <w:sz w:val="22"/>
          <w:szCs w:val="22"/>
        </w:rPr>
        <w:t>, quando o Contratado der causa à inexecução parcial do contrato, sempre que não se justificar a imposição de penalidade mais grave;</w:t>
      </w:r>
    </w:p>
    <w:p w14:paraId="4DB1DF0C" w14:textId="0B2A2BEC" w:rsidR="004D2F4F" w:rsidRPr="0028303A" w:rsidRDefault="004D2F4F" w:rsidP="0028303A">
      <w:pPr>
        <w:pStyle w:val="Nvel02"/>
        <w:rPr>
          <w:rStyle w:val="normaltextrun"/>
          <w:b/>
          <w:sz w:val="22"/>
          <w:szCs w:val="22"/>
          <w:u w:val="single"/>
        </w:rPr>
      </w:pPr>
      <w:r w:rsidRPr="0028303A">
        <w:rPr>
          <w:rStyle w:val="normaltextrun"/>
          <w:b/>
          <w:sz w:val="22"/>
          <w:szCs w:val="22"/>
        </w:rPr>
        <w:t>Impedimento de licitar</w:t>
      </w:r>
      <w:r w:rsidRPr="0028303A">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28303A" w:rsidRDefault="004D2F4F" w:rsidP="0028303A">
      <w:pPr>
        <w:pStyle w:val="Nvel02"/>
        <w:rPr>
          <w:rStyle w:val="normaltextrun"/>
          <w:b/>
          <w:sz w:val="22"/>
          <w:szCs w:val="22"/>
          <w:u w:val="single"/>
        </w:rPr>
      </w:pPr>
      <w:r w:rsidRPr="0028303A">
        <w:rPr>
          <w:rStyle w:val="normaltextrun"/>
          <w:b/>
          <w:sz w:val="22"/>
          <w:szCs w:val="22"/>
          <w:u w:val="single"/>
        </w:rPr>
        <w:t>Declaração de inidoneidade</w:t>
      </w:r>
      <w:r w:rsidRPr="0028303A">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28303A" w:rsidRDefault="004D2F4F" w:rsidP="0028303A">
      <w:pPr>
        <w:pStyle w:val="Nvel02"/>
        <w:rPr>
          <w:rStyle w:val="normaltextrun"/>
          <w:b/>
          <w:sz w:val="22"/>
          <w:szCs w:val="22"/>
        </w:rPr>
      </w:pPr>
      <w:r w:rsidRPr="0028303A">
        <w:rPr>
          <w:rStyle w:val="normaltextrun"/>
          <w:b/>
          <w:sz w:val="22"/>
          <w:szCs w:val="22"/>
        </w:rPr>
        <w:t>Multa:</w:t>
      </w:r>
    </w:p>
    <w:p w14:paraId="3F8264EF" w14:textId="5219DE36" w:rsidR="004D0198" w:rsidRPr="0028303A" w:rsidRDefault="004D0198" w:rsidP="0028303A">
      <w:pPr>
        <w:pStyle w:val="Nvel02"/>
        <w:rPr>
          <w:rStyle w:val="normaltextrun"/>
          <w:b/>
          <w:sz w:val="22"/>
          <w:szCs w:val="22"/>
        </w:rPr>
      </w:pPr>
      <w:r w:rsidRPr="0028303A">
        <w:rPr>
          <w:rStyle w:val="normaltextrun"/>
          <w:b/>
          <w:sz w:val="22"/>
          <w:szCs w:val="22"/>
        </w:rPr>
        <w:t xml:space="preserve"> </w:t>
      </w:r>
      <w:r w:rsidRPr="0028303A">
        <w:rPr>
          <w:rStyle w:val="normaltextrun"/>
          <w:sz w:val="22"/>
          <w:szCs w:val="22"/>
        </w:rPr>
        <w:t>A</w:t>
      </w:r>
      <w:r w:rsidRPr="0028303A">
        <w:rPr>
          <w:rStyle w:val="normaltextrun"/>
          <w:b/>
          <w:sz w:val="22"/>
          <w:szCs w:val="22"/>
        </w:rPr>
        <w:t xml:space="preserve"> </w:t>
      </w:r>
      <w:r w:rsidRPr="0028303A">
        <w:rPr>
          <w:sz w:val="22"/>
          <w:szCs w:val="22"/>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28303A">
        <w:rPr>
          <w:b/>
          <w:sz w:val="22"/>
          <w:szCs w:val="22"/>
        </w:rPr>
        <w:t>item 8.</w:t>
      </w:r>
      <w:r w:rsidRPr="0028303A">
        <w:rPr>
          <w:sz w:val="22"/>
          <w:szCs w:val="22"/>
        </w:rPr>
        <w:t>1;</w:t>
      </w:r>
    </w:p>
    <w:p w14:paraId="55CECF4E" w14:textId="3FFC93F1" w:rsidR="004D0198" w:rsidRPr="0028303A" w:rsidRDefault="004D0198" w:rsidP="0028303A">
      <w:pPr>
        <w:pStyle w:val="Nvel02"/>
        <w:rPr>
          <w:rStyle w:val="normaltextrun"/>
          <w:b/>
          <w:sz w:val="22"/>
          <w:szCs w:val="22"/>
        </w:rPr>
      </w:pPr>
      <w:r w:rsidRPr="0028303A">
        <w:rPr>
          <w:rStyle w:val="normaltextrun"/>
          <w:b/>
          <w:sz w:val="22"/>
          <w:szCs w:val="22"/>
        </w:rPr>
        <w:t xml:space="preserve"> </w:t>
      </w:r>
      <w:r w:rsidRPr="0028303A">
        <w:rPr>
          <w:rStyle w:val="normaltextrun"/>
          <w:sz w:val="22"/>
          <w:szCs w:val="22"/>
        </w:rPr>
        <w:t xml:space="preserve">Moratória, para as infrações descritas no item “d”, de </w:t>
      </w:r>
      <w:r w:rsidRPr="0028303A">
        <w:rPr>
          <w:rStyle w:val="normaltextrun"/>
          <w:b/>
          <w:sz w:val="22"/>
          <w:szCs w:val="22"/>
        </w:rPr>
        <w:t>0,5</w:t>
      </w:r>
      <w:r w:rsidRPr="0028303A">
        <w:rPr>
          <w:rStyle w:val="normaltextrun"/>
          <w:sz w:val="22"/>
          <w:szCs w:val="22"/>
        </w:rPr>
        <w:t>% (</w:t>
      </w:r>
      <w:r w:rsidRPr="0028303A">
        <w:rPr>
          <w:rStyle w:val="normaltextrun"/>
          <w:b/>
          <w:sz w:val="22"/>
          <w:szCs w:val="22"/>
        </w:rPr>
        <w:t>meio</w:t>
      </w:r>
      <w:r w:rsidRPr="0028303A">
        <w:rPr>
          <w:rStyle w:val="normaltextrun"/>
          <w:sz w:val="22"/>
          <w:szCs w:val="22"/>
        </w:rPr>
        <w:t xml:space="preserve"> por cento) por dia de atraso injustificado sobre o valor da parcela inadimplida, até o limite de </w:t>
      </w:r>
      <w:r w:rsidRPr="0028303A">
        <w:rPr>
          <w:rStyle w:val="normaltextrun"/>
          <w:b/>
          <w:sz w:val="22"/>
          <w:szCs w:val="22"/>
        </w:rPr>
        <w:t>30</w:t>
      </w:r>
      <w:r w:rsidRPr="0028303A">
        <w:rPr>
          <w:rStyle w:val="normaltextrun"/>
          <w:sz w:val="22"/>
          <w:szCs w:val="22"/>
        </w:rPr>
        <w:t xml:space="preserve"> (</w:t>
      </w:r>
      <w:r w:rsidRPr="0028303A">
        <w:rPr>
          <w:rStyle w:val="normaltextrun"/>
          <w:b/>
          <w:sz w:val="22"/>
          <w:szCs w:val="22"/>
        </w:rPr>
        <w:t>trinta</w:t>
      </w:r>
      <w:r w:rsidRPr="0028303A">
        <w:rPr>
          <w:rStyle w:val="normaltextrun"/>
          <w:sz w:val="22"/>
          <w:szCs w:val="22"/>
        </w:rPr>
        <w:t>) dias;</w:t>
      </w:r>
    </w:p>
    <w:p w14:paraId="03D34F43" w14:textId="3C72EBD9" w:rsidR="004D0198" w:rsidRPr="0028303A" w:rsidRDefault="004D0198" w:rsidP="0028303A">
      <w:pPr>
        <w:pStyle w:val="Nvel02"/>
        <w:rPr>
          <w:rStyle w:val="normaltextrun"/>
          <w:b/>
          <w:sz w:val="22"/>
          <w:szCs w:val="22"/>
        </w:rPr>
      </w:pPr>
      <w:r w:rsidRPr="0028303A">
        <w:rPr>
          <w:rStyle w:val="normaltextrun"/>
          <w:b/>
          <w:sz w:val="22"/>
          <w:szCs w:val="22"/>
        </w:rPr>
        <w:t xml:space="preserve"> </w:t>
      </w:r>
      <w:r w:rsidRPr="0028303A">
        <w:rPr>
          <w:rStyle w:val="normaltextrun"/>
          <w:sz w:val="22"/>
          <w:szCs w:val="22"/>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28303A" w:rsidRDefault="004D0198" w:rsidP="0028303A">
      <w:pPr>
        <w:pStyle w:val="Nvel02"/>
        <w:rPr>
          <w:rStyle w:val="normaltextrun"/>
          <w:sz w:val="22"/>
          <w:szCs w:val="22"/>
        </w:rPr>
      </w:pPr>
      <w:r w:rsidRPr="009078DC">
        <w:t xml:space="preserve"> O </w:t>
      </w:r>
      <w:r w:rsidRPr="0028303A">
        <w:rPr>
          <w:sz w:val="22"/>
          <w:szCs w:val="22"/>
        </w:rPr>
        <w:t>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28303A" w:rsidRDefault="004D0198" w:rsidP="0028303A">
      <w:pPr>
        <w:pStyle w:val="Nvel02"/>
        <w:rPr>
          <w:rStyle w:val="normaltextrun"/>
          <w:sz w:val="22"/>
          <w:szCs w:val="22"/>
        </w:rPr>
      </w:pPr>
      <w:r w:rsidRPr="0028303A">
        <w:rPr>
          <w:rStyle w:val="normaltextrun"/>
          <w:sz w:val="22"/>
          <w:szCs w:val="22"/>
        </w:rPr>
        <w:t xml:space="preserve"> Compensatória, para as infrações descritas no item 8.1 alíneas “e” a “h” de 15% (</w:t>
      </w:r>
      <w:r w:rsidRPr="0028303A">
        <w:rPr>
          <w:rStyle w:val="normaltextrun"/>
          <w:bCs/>
          <w:iCs w:val="0"/>
          <w:sz w:val="22"/>
          <w:szCs w:val="22"/>
        </w:rPr>
        <w:t>quinze</w:t>
      </w:r>
      <w:r w:rsidRPr="0028303A">
        <w:rPr>
          <w:rStyle w:val="normaltextrun"/>
          <w:sz w:val="22"/>
          <w:szCs w:val="22"/>
        </w:rPr>
        <w:t xml:space="preserve"> por cento) a 30% (</w:t>
      </w:r>
      <w:r w:rsidRPr="0028303A">
        <w:rPr>
          <w:rStyle w:val="normaltextrun"/>
          <w:bCs/>
          <w:iCs w:val="0"/>
          <w:sz w:val="22"/>
          <w:szCs w:val="22"/>
        </w:rPr>
        <w:t>trinta</w:t>
      </w:r>
      <w:r w:rsidRPr="0028303A">
        <w:rPr>
          <w:rStyle w:val="normaltextrun"/>
          <w:sz w:val="22"/>
          <w:szCs w:val="22"/>
        </w:rPr>
        <w:t xml:space="preserve"> por cento) do valor da contratação;</w:t>
      </w:r>
    </w:p>
    <w:p w14:paraId="1787B45D" w14:textId="3A14B681" w:rsidR="004D0198" w:rsidRPr="0028303A" w:rsidRDefault="004D0198" w:rsidP="0028303A">
      <w:pPr>
        <w:pStyle w:val="Nvel02"/>
        <w:rPr>
          <w:rStyle w:val="normaltextrun"/>
          <w:sz w:val="22"/>
          <w:szCs w:val="22"/>
        </w:rPr>
      </w:pPr>
      <w:r w:rsidRPr="0028303A">
        <w:rPr>
          <w:rStyle w:val="normaltextrun"/>
          <w:sz w:val="22"/>
          <w:szCs w:val="22"/>
        </w:rPr>
        <w:t xml:space="preserve"> Compensatória, para a inexecução total do contrato prevista no item 8.1 na alínea “c”, de 10% (</w:t>
      </w:r>
      <w:r w:rsidRPr="0028303A">
        <w:rPr>
          <w:rStyle w:val="normaltextrun"/>
          <w:bCs/>
          <w:iCs w:val="0"/>
          <w:sz w:val="22"/>
          <w:szCs w:val="22"/>
        </w:rPr>
        <w:t>dez</w:t>
      </w:r>
      <w:r w:rsidRPr="0028303A">
        <w:rPr>
          <w:rStyle w:val="normaltextrun"/>
          <w:sz w:val="22"/>
          <w:szCs w:val="22"/>
        </w:rPr>
        <w:t xml:space="preserve"> por cento) a 20% (</w:t>
      </w:r>
      <w:r w:rsidRPr="0028303A">
        <w:rPr>
          <w:rStyle w:val="normaltextrun"/>
          <w:bCs/>
          <w:iCs w:val="0"/>
          <w:sz w:val="22"/>
          <w:szCs w:val="22"/>
        </w:rPr>
        <w:t>vinte</w:t>
      </w:r>
      <w:r w:rsidRPr="0028303A">
        <w:rPr>
          <w:rStyle w:val="normaltextrun"/>
          <w:sz w:val="22"/>
          <w:szCs w:val="22"/>
        </w:rPr>
        <w:t xml:space="preserve"> por cento) do valor da contratação</w:t>
      </w:r>
    </w:p>
    <w:p w14:paraId="49A14560" w14:textId="6A44F2F5" w:rsidR="004D0198" w:rsidRPr="0028303A" w:rsidRDefault="004D0198" w:rsidP="0028303A">
      <w:pPr>
        <w:pStyle w:val="Nvel02"/>
        <w:rPr>
          <w:rStyle w:val="normaltextrun"/>
          <w:sz w:val="22"/>
          <w:szCs w:val="22"/>
        </w:rPr>
      </w:pPr>
      <w:r w:rsidRPr="0028303A">
        <w:rPr>
          <w:rStyle w:val="normaltextrun"/>
          <w:sz w:val="22"/>
          <w:szCs w:val="22"/>
        </w:rPr>
        <w:t xml:space="preserve"> Compensatória, para a infração descrita no item 8.1 na alínea “b”, de 15% (</w:t>
      </w:r>
      <w:r w:rsidRPr="0028303A">
        <w:rPr>
          <w:rStyle w:val="normaltextrun"/>
          <w:bCs/>
          <w:iCs w:val="0"/>
          <w:sz w:val="22"/>
          <w:szCs w:val="22"/>
        </w:rPr>
        <w:t>quinze</w:t>
      </w:r>
      <w:r w:rsidRPr="0028303A">
        <w:rPr>
          <w:rStyle w:val="normaltextrun"/>
          <w:sz w:val="22"/>
          <w:szCs w:val="22"/>
        </w:rPr>
        <w:t xml:space="preserve"> por cento) a 30% (</w:t>
      </w:r>
      <w:r w:rsidRPr="0028303A">
        <w:rPr>
          <w:rStyle w:val="normaltextrun"/>
          <w:bCs/>
          <w:iCs w:val="0"/>
          <w:sz w:val="22"/>
          <w:szCs w:val="22"/>
        </w:rPr>
        <w:t>trinta</w:t>
      </w:r>
      <w:r w:rsidRPr="0028303A">
        <w:rPr>
          <w:rStyle w:val="normaltextrun"/>
          <w:sz w:val="22"/>
          <w:szCs w:val="22"/>
        </w:rPr>
        <w:t xml:space="preserve"> por cento) do valor da contratação;</w:t>
      </w:r>
    </w:p>
    <w:p w14:paraId="47AA45CF" w14:textId="08BA7FF9" w:rsidR="004D0198" w:rsidRPr="0028303A" w:rsidRDefault="004D0198" w:rsidP="0028303A">
      <w:pPr>
        <w:pStyle w:val="Nvel02"/>
        <w:rPr>
          <w:rStyle w:val="normaltextrun"/>
          <w:sz w:val="22"/>
          <w:szCs w:val="22"/>
        </w:rPr>
      </w:pPr>
      <w:r w:rsidRPr="0028303A">
        <w:rPr>
          <w:rStyle w:val="normaltextrun"/>
          <w:sz w:val="22"/>
          <w:szCs w:val="22"/>
        </w:rPr>
        <w:t xml:space="preserve"> Compensatória, em substituição à multa moratória para a infração descrita no item 8.1 na alínea “d”, de 10% (dez por cento) a 30% (30 por cento) do valor da contratação;</w:t>
      </w:r>
    </w:p>
    <w:p w14:paraId="4A37C368" w14:textId="558C1D47" w:rsidR="00243062" w:rsidRPr="0028303A" w:rsidRDefault="00243062" w:rsidP="0028303A">
      <w:pPr>
        <w:pStyle w:val="Nvel02"/>
        <w:rPr>
          <w:rStyle w:val="normaltextrun"/>
          <w:sz w:val="22"/>
          <w:szCs w:val="22"/>
        </w:rPr>
      </w:pPr>
      <w:r w:rsidRPr="0028303A">
        <w:rPr>
          <w:rStyle w:val="normaltextrun"/>
          <w:sz w:val="22"/>
          <w:szCs w:val="22"/>
        </w:rPr>
        <w:t xml:space="preserve"> Compensatória, para a infração descrita no item 8.1 na alínea “a”, de 10% (dez por cento) a 20% (trinta por cento) do valor da contratação</w:t>
      </w:r>
      <w:r w:rsidR="00582110" w:rsidRPr="0028303A">
        <w:rPr>
          <w:rStyle w:val="normaltextrun"/>
          <w:sz w:val="22"/>
          <w:szCs w:val="22"/>
        </w:rPr>
        <w:t>;</w:t>
      </w:r>
    </w:p>
    <w:p w14:paraId="4AB4A399" w14:textId="23A42761" w:rsidR="00582110" w:rsidRPr="0028303A" w:rsidRDefault="00582110" w:rsidP="0028303A">
      <w:pPr>
        <w:pStyle w:val="Nvel02"/>
        <w:rPr>
          <w:rStyle w:val="normaltextrun"/>
          <w:b/>
          <w:sz w:val="22"/>
          <w:szCs w:val="22"/>
          <w:u w:val="single"/>
        </w:rPr>
      </w:pPr>
      <w:r w:rsidRPr="0028303A">
        <w:rPr>
          <w:rStyle w:val="normaltextrun"/>
          <w:color w:val="000000"/>
          <w:sz w:val="22"/>
          <w:szCs w:val="22"/>
        </w:rPr>
        <w:lastRenderedPageBreak/>
        <w:t xml:space="preserve">A aplicação das sanções previstas neste </w:t>
      </w:r>
      <w:r w:rsidRPr="0028303A">
        <w:rPr>
          <w:sz w:val="22"/>
          <w:szCs w:val="22"/>
        </w:rPr>
        <w:t xml:space="preserve">Termo de Referência </w:t>
      </w:r>
      <w:r w:rsidRPr="0028303A">
        <w:rPr>
          <w:rStyle w:val="normaltextrun"/>
          <w:color w:val="000000"/>
          <w:sz w:val="22"/>
          <w:szCs w:val="22"/>
        </w:rPr>
        <w:t>não exclui, em hipótese alguma, a obrigação de reparação integral do dano causado ao Contratante;</w:t>
      </w:r>
    </w:p>
    <w:p w14:paraId="330DDED6" w14:textId="117B92FB" w:rsidR="00582110" w:rsidRPr="0028303A" w:rsidRDefault="00582110" w:rsidP="0028303A">
      <w:pPr>
        <w:pStyle w:val="Nvel02"/>
        <w:rPr>
          <w:rStyle w:val="normaltextrun"/>
          <w:b/>
          <w:sz w:val="22"/>
          <w:szCs w:val="22"/>
          <w:u w:val="single"/>
        </w:rPr>
      </w:pPr>
      <w:r w:rsidRPr="0028303A">
        <w:rPr>
          <w:rStyle w:val="normaltextrun"/>
          <w:color w:val="000000"/>
          <w:sz w:val="22"/>
          <w:szCs w:val="22"/>
        </w:rPr>
        <w:t xml:space="preserve">Todas as sanções previstas neste </w:t>
      </w:r>
      <w:r w:rsidRPr="0028303A">
        <w:rPr>
          <w:sz w:val="22"/>
          <w:szCs w:val="22"/>
        </w:rPr>
        <w:t>Termo de Referência</w:t>
      </w:r>
      <w:r w:rsidRPr="0028303A">
        <w:rPr>
          <w:rStyle w:val="normaltextrun"/>
          <w:color w:val="000000"/>
          <w:sz w:val="22"/>
          <w:szCs w:val="22"/>
        </w:rPr>
        <w:t xml:space="preserve"> poderão ser aplicadas cumulativamente com a multa;</w:t>
      </w:r>
    </w:p>
    <w:p w14:paraId="7D78F035" w14:textId="6573485C" w:rsidR="00582110" w:rsidRPr="0028303A" w:rsidRDefault="00582110" w:rsidP="0028303A">
      <w:pPr>
        <w:pStyle w:val="Nvel02"/>
        <w:rPr>
          <w:b/>
          <w:sz w:val="22"/>
          <w:szCs w:val="22"/>
          <w:u w:val="single"/>
        </w:rPr>
      </w:pPr>
      <w:r w:rsidRPr="0028303A">
        <w:rPr>
          <w:sz w:val="22"/>
          <w:szCs w:val="22"/>
        </w:rPr>
        <w:t xml:space="preserve">Antes da aplicação da </w:t>
      </w:r>
      <w:r w:rsidRPr="0028303A">
        <w:rPr>
          <w:rStyle w:val="normaltextrun"/>
          <w:sz w:val="22"/>
          <w:szCs w:val="22"/>
        </w:rPr>
        <w:t>multa</w:t>
      </w:r>
      <w:r w:rsidRPr="0028303A">
        <w:rPr>
          <w:sz w:val="22"/>
          <w:szCs w:val="22"/>
        </w:rPr>
        <w:t xml:space="preserve"> será facultada a defesa do interessado no prazo de 15 (quinze) dias úteis, contado da data de sua intimação;</w:t>
      </w:r>
    </w:p>
    <w:p w14:paraId="0D2F2A37" w14:textId="78C56F37" w:rsidR="00582110" w:rsidRPr="0028303A" w:rsidRDefault="00582110" w:rsidP="0028303A">
      <w:pPr>
        <w:pStyle w:val="Nvel02"/>
        <w:rPr>
          <w:rStyle w:val="normaltextrun"/>
          <w:b/>
          <w:sz w:val="22"/>
          <w:szCs w:val="22"/>
          <w:u w:val="single"/>
        </w:rPr>
      </w:pPr>
      <w:r w:rsidRPr="0028303A">
        <w:rPr>
          <w:rStyle w:val="normaltextrun"/>
          <w:color w:val="000000"/>
          <w:sz w:val="22"/>
          <w:szCs w:val="22"/>
        </w:rPr>
        <w:t xml:space="preserve">Se a multa aplicada e as indenizações cabíveis forem superiores ao valor do pagamento </w:t>
      </w:r>
      <w:r w:rsidRPr="0028303A">
        <w:rPr>
          <w:sz w:val="22"/>
          <w:szCs w:val="22"/>
        </w:rPr>
        <w:t>eventualmente</w:t>
      </w:r>
      <w:r w:rsidRPr="0028303A">
        <w:rPr>
          <w:rStyle w:val="normaltextrun"/>
          <w:color w:val="000000"/>
          <w:sz w:val="22"/>
          <w:szCs w:val="22"/>
        </w:rPr>
        <w:t xml:space="preserve"> devido pelo Contratante ao Contratado, além da perda desse valor, a diferença será descontada da garantia prestada ou será cobrada judicialmente;</w:t>
      </w:r>
    </w:p>
    <w:p w14:paraId="3C2F3548" w14:textId="4E984184" w:rsidR="00582110" w:rsidRPr="0028303A" w:rsidRDefault="00582110" w:rsidP="0028303A">
      <w:pPr>
        <w:pStyle w:val="Nvel02"/>
        <w:rPr>
          <w:b/>
          <w:sz w:val="22"/>
          <w:szCs w:val="22"/>
          <w:u w:val="single"/>
        </w:rPr>
      </w:pPr>
      <w:r w:rsidRPr="0028303A">
        <w:rPr>
          <w:sz w:val="22"/>
          <w:szCs w:val="22"/>
        </w:rPr>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28303A" w:rsidRDefault="00582110" w:rsidP="0028303A">
      <w:pPr>
        <w:pStyle w:val="Nvel02"/>
        <w:rPr>
          <w:b/>
          <w:sz w:val="22"/>
          <w:szCs w:val="22"/>
          <w:u w:val="single"/>
        </w:rPr>
      </w:pPr>
      <w:r w:rsidRPr="0028303A">
        <w:rPr>
          <w:sz w:val="22"/>
          <w:szCs w:val="22"/>
        </w:rPr>
        <w:t xml:space="preserve">A </w:t>
      </w:r>
      <w:r w:rsidRPr="0028303A">
        <w:rPr>
          <w:rStyle w:val="normaltextrun"/>
          <w:color w:val="000000"/>
          <w:sz w:val="22"/>
          <w:szCs w:val="22"/>
        </w:rPr>
        <w:t xml:space="preserve">aplicação das sanções realizar-se-á em processo administrativo que assegure o contraditório e a ampla defesa ao Contratado, observando-se o procedimento previsto no caput e </w:t>
      </w:r>
      <w:r w:rsidRPr="0028303A">
        <w:rPr>
          <w:rStyle w:val="normaltextrun"/>
          <w:sz w:val="22"/>
          <w:szCs w:val="22"/>
        </w:rPr>
        <w:t>parágrafos do art. 158 da Lei nº 14.133, de 2021, para as penalidades de impedimento de licitar e contratar e de</w:t>
      </w:r>
      <w:r w:rsidRPr="0028303A">
        <w:rPr>
          <w:rStyle w:val="normaltextrun"/>
          <w:color w:val="000000"/>
          <w:sz w:val="22"/>
          <w:szCs w:val="22"/>
        </w:rPr>
        <w:t xml:space="preserve"> declaração de inidoneidade para licitar ou contratar;</w:t>
      </w:r>
    </w:p>
    <w:p w14:paraId="0A03CB3B" w14:textId="5444A615" w:rsidR="00582110" w:rsidRPr="0028303A" w:rsidRDefault="00582110" w:rsidP="0028303A">
      <w:pPr>
        <w:pStyle w:val="Nvel02"/>
        <w:rPr>
          <w:rStyle w:val="normaltextrun"/>
          <w:b/>
          <w:sz w:val="22"/>
          <w:szCs w:val="22"/>
          <w:u w:val="single"/>
        </w:rPr>
      </w:pPr>
      <w:r w:rsidRPr="0028303A">
        <w:rPr>
          <w:rStyle w:val="normaltextrun"/>
          <w:sz w:val="22"/>
          <w:szCs w:val="22"/>
        </w:rPr>
        <w:t>Para a garantia da ampla defesa e contraditório, as notificações serão enviadas eletronicamente para os endereços de e-mail informados na proposta comercial, bem como os cadastrados pela empresa no SICAF;</w:t>
      </w:r>
    </w:p>
    <w:p w14:paraId="739C7515" w14:textId="2D6C3D5B" w:rsidR="00582110" w:rsidRPr="0028303A" w:rsidRDefault="00904442" w:rsidP="0028303A">
      <w:pPr>
        <w:pStyle w:val="Nvel02"/>
        <w:rPr>
          <w:rStyle w:val="normaltextrun"/>
          <w:b/>
          <w:sz w:val="22"/>
          <w:szCs w:val="22"/>
          <w:u w:val="single"/>
        </w:rPr>
      </w:pPr>
      <w:r w:rsidRPr="0028303A">
        <w:rPr>
          <w:rStyle w:val="normaltextrun"/>
          <w:sz w:val="22"/>
          <w:szCs w:val="22"/>
        </w:rPr>
        <w:t>Os endereços de e-mail informados na proposta comercial serão considerados de uso contínuo da empresa, não cabendo alegação de desconhecimento das comunicações a eles comprovadamente enviadas.</w:t>
      </w:r>
    </w:p>
    <w:p w14:paraId="5CE08C1E" w14:textId="67442782" w:rsidR="00904442" w:rsidRPr="0028303A" w:rsidRDefault="00904442" w:rsidP="0028303A">
      <w:pPr>
        <w:pStyle w:val="Nvel02"/>
        <w:rPr>
          <w:rStyle w:val="normaltextrun"/>
          <w:b/>
          <w:sz w:val="22"/>
          <w:szCs w:val="22"/>
          <w:u w:val="single"/>
        </w:rPr>
      </w:pPr>
      <w:r w:rsidRPr="0028303A">
        <w:rPr>
          <w:rStyle w:val="normaltextrun"/>
          <w:color w:val="000000"/>
          <w:sz w:val="22"/>
          <w:szCs w:val="22"/>
        </w:rPr>
        <w:t xml:space="preserve">Na aplicação </w:t>
      </w:r>
      <w:r w:rsidRPr="0028303A">
        <w:rPr>
          <w:sz w:val="22"/>
          <w:szCs w:val="22"/>
        </w:rPr>
        <w:t>das</w:t>
      </w:r>
      <w:r w:rsidRPr="0028303A">
        <w:rPr>
          <w:rStyle w:val="normaltextrun"/>
          <w:color w:val="000000"/>
          <w:sz w:val="22"/>
          <w:szCs w:val="22"/>
        </w:rPr>
        <w:t xml:space="preserve"> sanções serão considerados:</w:t>
      </w:r>
    </w:p>
    <w:p w14:paraId="3CAC8217" w14:textId="703B4731" w:rsidR="00904442" w:rsidRPr="0028303A" w:rsidRDefault="00904442" w:rsidP="0028303A">
      <w:pPr>
        <w:pStyle w:val="Nvel02"/>
        <w:rPr>
          <w:rStyle w:val="normaltextrun"/>
          <w:b/>
          <w:sz w:val="22"/>
          <w:szCs w:val="22"/>
          <w:u w:val="single"/>
        </w:rPr>
      </w:pPr>
      <w:r w:rsidRPr="0028303A">
        <w:rPr>
          <w:rStyle w:val="normaltextrun"/>
          <w:sz w:val="22"/>
          <w:szCs w:val="22"/>
        </w:rPr>
        <w:t>a natureza e a gravidade da infração cometida;</w:t>
      </w:r>
    </w:p>
    <w:p w14:paraId="7CF8CF72" w14:textId="6AAB9042" w:rsidR="00904442" w:rsidRPr="0028303A" w:rsidRDefault="00904442" w:rsidP="0028303A">
      <w:pPr>
        <w:pStyle w:val="Nvel02"/>
        <w:rPr>
          <w:rStyle w:val="normaltextrun"/>
          <w:b/>
          <w:sz w:val="22"/>
          <w:szCs w:val="22"/>
          <w:u w:val="single"/>
        </w:rPr>
      </w:pPr>
      <w:r w:rsidRPr="0028303A">
        <w:rPr>
          <w:rStyle w:val="normaltextrun"/>
          <w:sz w:val="22"/>
          <w:szCs w:val="22"/>
        </w:rPr>
        <w:t>as peculiaridades do caso concreto;</w:t>
      </w:r>
    </w:p>
    <w:p w14:paraId="3E089792" w14:textId="6A3F5852" w:rsidR="00904442" w:rsidRPr="0028303A" w:rsidRDefault="00904442" w:rsidP="0028303A">
      <w:pPr>
        <w:pStyle w:val="Nvel02"/>
        <w:rPr>
          <w:rStyle w:val="normaltextrun"/>
          <w:b/>
          <w:sz w:val="22"/>
          <w:szCs w:val="22"/>
          <w:u w:val="single"/>
        </w:rPr>
      </w:pPr>
      <w:r w:rsidRPr="0028303A">
        <w:rPr>
          <w:rStyle w:val="normaltextrun"/>
          <w:sz w:val="22"/>
          <w:szCs w:val="22"/>
        </w:rPr>
        <w:t>as circunstâncias agravantes ou atenuantes;</w:t>
      </w:r>
    </w:p>
    <w:p w14:paraId="133819B8" w14:textId="54D543A9" w:rsidR="00904442" w:rsidRPr="0028303A" w:rsidRDefault="00904442" w:rsidP="0028303A">
      <w:pPr>
        <w:pStyle w:val="Nvel02"/>
        <w:rPr>
          <w:b/>
          <w:sz w:val="22"/>
          <w:szCs w:val="22"/>
          <w:u w:val="single"/>
        </w:rPr>
      </w:pPr>
      <w:r w:rsidRPr="0028303A">
        <w:rPr>
          <w:sz w:val="22"/>
          <w:szCs w:val="22"/>
        </w:rPr>
        <w:t xml:space="preserve">os danos que dela provierem para o Contratante; e </w:t>
      </w:r>
    </w:p>
    <w:p w14:paraId="15EA33E3" w14:textId="195A9D7F" w:rsidR="00904442" w:rsidRPr="0028303A" w:rsidRDefault="00904442" w:rsidP="0028303A">
      <w:pPr>
        <w:pStyle w:val="Nvel02"/>
        <w:rPr>
          <w:rStyle w:val="normaltextrun"/>
          <w:b/>
          <w:sz w:val="22"/>
          <w:szCs w:val="22"/>
          <w:u w:val="single"/>
        </w:rPr>
      </w:pPr>
      <w:r w:rsidRPr="0028303A">
        <w:rPr>
          <w:rStyle w:val="normaltextrun"/>
          <w:sz w:val="22"/>
          <w:szCs w:val="22"/>
        </w:rPr>
        <w:t>a implantação ou o aperfeiçoamento de programa de integridade, conforme normas e orientações dos órgãos de controle.</w:t>
      </w:r>
    </w:p>
    <w:p w14:paraId="5C4F6CF0" w14:textId="043A86F4" w:rsidR="00BA4659" w:rsidRPr="0028303A" w:rsidRDefault="00CF71CD" w:rsidP="0028303A">
      <w:pPr>
        <w:pStyle w:val="Nvel02"/>
        <w:rPr>
          <w:rStyle w:val="normaltextrun"/>
          <w:b/>
          <w:sz w:val="22"/>
          <w:szCs w:val="22"/>
          <w:u w:val="single"/>
        </w:rPr>
      </w:pPr>
      <w:r w:rsidRPr="0028303A">
        <w:rPr>
          <w:rStyle w:val="normaltextrun"/>
          <w:color w:val="000000"/>
          <w:sz w:val="22"/>
          <w:szCs w:val="22"/>
        </w:rPr>
        <w:t xml:space="preserve">Os atos previstos como infrações </w:t>
      </w:r>
      <w:r w:rsidRPr="0028303A">
        <w:rPr>
          <w:rStyle w:val="normaltextrun"/>
          <w:sz w:val="22"/>
          <w:szCs w:val="22"/>
        </w:rPr>
        <w:t xml:space="preserve">administrativas na Lei nº 14.133, de 2021, ou em outras leis de licitações e contratos da </w:t>
      </w:r>
      <w:r w:rsidRPr="0028303A">
        <w:rPr>
          <w:sz w:val="22"/>
          <w:szCs w:val="22"/>
        </w:rPr>
        <w:t>Administração</w:t>
      </w:r>
      <w:r w:rsidRPr="0028303A">
        <w:rPr>
          <w:rStyle w:val="normaltextrun"/>
          <w:sz w:val="22"/>
          <w:szCs w:val="22"/>
        </w:rPr>
        <w:t xml:space="preserve"> Pública que também sejam tipificados como atos lesivos na Lei nº 12.846, de 2013, serão apurados e julgados conj</w:t>
      </w:r>
      <w:r w:rsidRPr="0028303A">
        <w:rPr>
          <w:rStyle w:val="normaltextrun"/>
          <w:color w:val="000000"/>
          <w:sz w:val="22"/>
          <w:szCs w:val="22"/>
        </w:rPr>
        <w:t xml:space="preserve">untamente, nos mesmos autos, observados o rito procedimental e autoridade competente definidos na </w:t>
      </w:r>
      <w:r w:rsidRPr="0028303A">
        <w:rPr>
          <w:rStyle w:val="normaltextrun"/>
          <w:sz w:val="22"/>
          <w:szCs w:val="22"/>
        </w:rPr>
        <w:t>referida Lei</w:t>
      </w:r>
      <w:r w:rsidRPr="0028303A">
        <w:rPr>
          <w:rStyle w:val="normaltextrun"/>
          <w:color w:val="000000"/>
          <w:sz w:val="22"/>
          <w:szCs w:val="22"/>
        </w:rPr>
        <w:t>.</w:t>
      </w:r>
    </w:p>
    <w:p w14:paraId="5457FB55" w14:textId="56666169" w:rsidR="00CF71CD" w:rsidRPr="00B5615C" w:rsidRDefault="00CF71CD" w:rsidP="0028303A">
      <w:pPr>
        <w:pStyle w:val="Nvel02"/>
        <w:rPr>
          <w:rStyle w:val="normaltextrun"/>
          <w:b/>
          <w:sz w:val="22"/>
          <w:szCs w:val="22"/>
          <w:u w:val="single"/>
        </w:rPr>
      </w:pPr>
      <w:r w:rsidRPr="00B5615C">
        <w:rPr>
          <w:rStyle w:val="normaltextrun"/>
          <w:color w:val="000000"/>
          <w:sz w:val="22"/>
          <w:szCs w:val="22"/>
        </w:rPr>
        <w:t xml:space="preserve">A personalidade jurídica do Contratado poderá ser desconsiderada sempre que utilizada com abuso do direito para facilitar, encobrir ou dissimular a prática dos atos ilícitos previstos </w:t>
      </w:r>
      <w:r w:rsidRPr="00B5615C">
        <w:t>neste Termo de Referência</w:t>
      </w:r>
      <w:r w:rsidRPr="00B5615C">
        <w:rPr>
          <w:rStyle w:val="normaltextrun"/>
          <w:color w:val="000000"/>
          <w:sz w:val="22"/>
          <w:szCs w:val="22"/>
        </w:rPr>
        <w:t xml:space="preserve"> ou para provocar confusão </w:t>
      </w:r>
      <w:r w:rsidRPr="00B5615C">
        <w:rPr>
          <w:rStyle w:val="normaltextrun"/>
          <w:color w:val="000000"/>
          <w:sz w:val="22"/>
          <w:szCs w:val="22"/>
        </w:rPr>
        <w:lastRenderedPageBreak/>
        <w:t>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28303A">
      <w:pPr>
        <w:pStyle w:val="Nvel02"/>
        <w:rPr>
          <w:rStyle w:val="normaltextrun"/>
          <w:b/>
          <w:sz w:val="22"/>
          <w:szCs w:val="22"/>
          <w:u w:val="single"/>
        </w:rPr>
      </w:pPr>
      <w:r w:rsidRPr="00B5615C">
        <w:rPr>
          <w:rStyle w:val="normaltextrun"/>
          <w:color w:val="000000"/>
          <w:sz w:val="22"/>
          <w:szCs w:val="22"/>
        </w:rPr>
        <w:t xml:space="preserve">O Contratante deverá, no prazo máximo </w:t>
      </w:r>
      <w:r w:rsidRPr="00B5615C">
        <w:rPr>
          <w:rStyle w:val="normaltextrun"/>
          <w:sz w:val="22"/>
          <w:szCs w:val="22"/>
        </w:rPr>
        <w:t>de</w:t>
      </w:r>
      <w:r w:rsidRPr="00B5615C">
        <w:rPr>
          <w:rStyle w:val="normaltextrun"/>
          <w:color w:val="000000"/>
          <w:sz w:val="22"/>
          <w:szCs w:val="22"/>
        </w:rPr>
        <w:t xml:space="preserve"> 15 (quinze) dias úteis, contado da data de aplicação da sanção, </w:t>
      </w:r>
      <w:r w:rsidRPr="00B5615C">
        <w:t>informar</w:t>
      </w:r>
      <w:r w:rsidRPr="00B5615C">
        <w:rPr>
          <w:rStyle w:val="normaltextrun"/>
          <w:color w:val="000000"/>
          <w:sz w:val="22"/>
          <w:szCs w:val="22"/>
        </w:rPr>
        <w:t xml:space="preserve"> e manter atualizados os dados relativos às sanções por ela </w:t>
      </w:r>
      <w:r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28303A">
      <w:pPr>
        <w:pStyle w:val="Nvel02"/>
        <w:rPr>
          <w:b/>
          <w:u w:val="single"/>
        </w:rPr>
      </w:pPr>
      <w:r w:rsidRPr="00B048E2">
        <w:t>As penalidades serão obrigatoriamente registradas no SICAF.</w:t>
      </w:r>
    </w:p>
    <w:p w14:paraId="17DD5674" w14:textId="3833DB29" w:rsidR="00CF71CD" w:rsidRPr="00B048E2" w:rsidRDefault="00CF71CD" w:rsidP="0028303A">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t>de</w:t>
      </w:r>
      <w:r w:rsidRPr="00B048E2">
        <w:rPr>
          <w:rStyle w:val="normaltextrun"/>
          <w:sz w:val="22"/>
          <w:szCs w:val="22"/>
        </w:rPr>
        <w:t xml:space="preserve"> reabilitação na forma do art. 163 da Lei nº 14.133, de 2021.</w:t>
      </w:r>
    </w:p>
    <w:p w14:paraId="1AAB499D" w14:textId="5C57CCCE" w:rsidR="00CF71CD" w:rsidRPr="00B5615C" w:rsidRDefault="00CF71CD" w:rsidP="0028303A">
      <w:pPr>
        <w:pStyle w:val="Nvel02"/>
        <w:rPr>
          <w:rStyle w:val="normaltextrun"/>
          <w:b/>
          <w:sz w:val="22"/>
          <w:szCs w:val="22"/>
          <w:u w:val="single"/>
        </w:rPr>
      </w:pPr>
      <w:r w:rsidRPr="00B048E2">
        <w:t>Os</w:t>
      </w:r>
      <w:r w:rsidRPr="00B048E2">
        <w:rPr>
          <w:rStyle w:val="normaltextrun"/>
          <w:color w:val="000000"/>
          <w:sz w:val="22"/>
          <w:szCs w:val="22"/>
        </w:rPr>
        <w:t xml:space="preserve"> débitos do Contratado</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sz w:val="22"/>
          <w:szCs w:val="22"/>
        </w:rPr>
        <w:t>da Instrução Normativa SEGES/ME nº 26, de 13 de abril de 2022.</w:t>
      </w:r>
    </w:p>
    <w:p w14:paraId="03ECF418" w14:textId="77777777" w:rsidR="00CF71CD" w:rsidRPr="00CF71CD" w:rsidRDefault="00CF71CD" w:rsidP="0028303A">
      <w:pPr>
        <w:pStyle w:val="Nvel02"/>
        <w:numPr>
          <w:ilvl w:val="0"/>
          <w:numId w:val="0"/>
        </w:numPr>
        <w:ind w:left="567"/>
        <w:rPr>
          <w:rStyle w:val="normaltextrun"/>
          <w:b/>
          <w:sz w:val="22"/>
          <w:szCs w:val="22"/>
          <w:u w:val="single"/>
        </w:rPr>
      </w:pPr>
    </w:p>
    <w:p w14:paraId="2F58E5C3" w14:textId="7E72D1CD" w:rsidR="00CF71CD" w:rsidRPr="0028303A" w:rsidRDefault="00CF71CD" w:rsidP="0028303A">
      <w:pPr>
        <w:pStyle w:val="Nvel02"/>
        <w:numPr>
          <w:ilvl w:val="0"/>
          <w:numId w:val="9"/>
        </w:numPr>
        <w:rPr>
          <w:b/>
          <w:bCs/>
        </w:rPr>
      </w:pPr>
      <w:r w:rsidRPr="0028303A">
        <w:rPr>
          <w:b/>
          <w:bCs/>
          <w:sz w:val="24"/>
          <w:szCs w:val="24"/>
          <w:u w:val="single"/>
        </w:rPr>
        <w:t>DOS CRITÉRIOS DE MEDIÇÃO E PAGAMENTO</w:t>
      </w:r>
      <w:r w:rsidRPr="0028303A">
        <w:rPr>
          <w:b/>
          <w:bCs/>
        </w:rPr>
        <w:t xml:space="preserve">: </w:t>
      </w:r>
    </w:p>
    <w:p w14:paraId="183298FC" w14:textId="77777777" w:rsidR="00B5615C" w:rsidRPr="00B5615C" w:rsidRDefault="00B5615C" w:rsidP="0028303A">
      <w:pPr>
        <w:pStyle w:val="Nvel02"/>
        <w:numPr>
          <w:ilvl w:val="0"/>
          <w:numId w:val="0"/>
        </w:numPr>
        <w:ind w:left="360"/>
      </w:pPr>
    </w:p>
    <w:p w14:paraId="15E7A048" w14:textId="34A4E275" w:rsidR="00CF71CD" w:rsidRPr="0028303A" w:rsidRDefault="00CF71CD" w:rsidP="0028303A">
      <w:pPr>
        <w:pStyle w:val="Nvel02"/>
        <w:ind w:left="426"/>
        <w:rPr>
          <w:sz w:val="22"/>
          <w:szCs w:val="22"/>
        </w:rPr>
      </w:pPr>
      <w:r w:rsidRPr="0028303A">
        <w:rPr>
          <w:sz w:val="22"/>
          <w:szCs w:val="22"/>
        </w:rPr>
        <w:t>O pagamento será efetuado dentro do prazo máximo de 10 (dez) dias após a certificação da execução dos serviços</w:t>
      </w:r>
      <w:r w:rsidR="00E64C75" w:rsidRPr="0028303A">
        <w:rPr>
          <w:sz w:val="22"/>
          <w:szCs w:val="22"/>
        </w:rPr>
        <w:t xml:space="preserve"> ou entrega</w:t>
      </w:r>
      <w:r w:rsidRPr="0028303A">
        <w:rPr>
          <w:sz w:val="22"/>
          <w:szCs w:val="22"/>
        </w:rPr>
        <w:t>, com a apresentação da nota fiscal, devidamente aprovada pelo responsável do Setor Requisitante, de acordo com as condições estabelecidas neste Termo de Referência.</w:t>
      </w:r>
    </w:p>
    <w:p w14:paraId="6443F263" w14:textId="6EFD1271" w:rsidR="00CF71CD" w:rsidRPr="0028303A" w:rsidRDefault="00CF71CD" w:rsidP="0028303A">
      <w:pPr>
        <w:pStyle w:val="Nvel02"/>
        <w:ind w:left="426"/>
        <w:rPr>
          <w:sz w:val="22"/>
          <w:szCs w:val="22"/>
        </w:rPr>
      </w:pPr>
      <w:r w:rsidRPr="0028303A">
        <w:rPr>
          <w:sz w:val="22"/>
          <w:szCs w:val="22"/>
        </w:rPr>
        <w:t xml:space="preserve">Os pagamentos estão sujeitos, no que couber, ao Decreto Municipal nº 7.468 de 25 de agosto de 2023, que trata da retenção do Imposto de Renda (IR) dos fornecedores contratados pelo poder </w:t>
      </w:r>
      <w:r w:rsidR="0028303A" w:rsidRPr="0028303A">
        <w:rPr>
          <w:sz w:val="22"/>
          <w:szCs w:val="22"/>
        </w:rPr>
        <w:t>público</w:t>
      </w:r>
      <w:r w:rsidRPr="0028303A">
        <w:rPr>
          <w:sz w:val="22"/>
          <w:szCs w:val="22"/>
        </w:rPr>
        <w:t>, conforme Instrução Normativa da Receita Federal do Brasil nº 1.234/2012, alterada pela IN 2.145/2023.</w:t>
      </w:r>
    </w:p>
    <w:p w14:paraId="3ECD9F0A" w14:textId="5BB6896B" w:rsidR="00CF71CD" w:rsidRPr="0028303A" w:rsidRDefault="00CF71CD" w:rsidP="0028303A">
      <w:pPr>
        <w:pStyle w:val="Nvel02"/>
        <w:ind w:left="426"/>
        <w:rPr>
          <w:sz w:val="22"/>
          <w:szCs w:val="22"/>
        </w:rPr>
      </w:pPr>
      <w:r w:rsidRPr="0028303A">
        <w:rPr>
          <w:sz w:val="22"/>
          <w:szCs w:val="22"/>
        </w:rPr>
        <w:t>Deverão constar do documento fiscal, o Banco, o número da conta corrente e a agência bancária, sem os quais o pagamento ficará retido por falta de informação fundamental.</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28303A">
      <w:pPr>
        <w:pStyle w:val="Nvel02"/>
      </w:pPr>
      <w:r w:rsidRPr="0028303A">
        <w:rPr>
          <w:sz w:val="22"/>
          <w:szCs w:val="22"/>
        </w:rPr>
        <w:t xml:space="preserve">O prestador será selecionado mediante processo de contratação direta, fundamentada na dispensa de licitação, com adoção do critério de seleção pelo </w:t>
      </w:r>
      <w:r w:rsidRPr="0028303A">
        <w:rPr>
          <w:b/>
          <w:sz w:val="22"/>
          <w:szCs w:val="22"/>
        </w:rPr>
        <w:t>MENOR PREÇO</w:t>
      </w:r>
      <w:r w:rsidRPr="005874B7">
        <w:t>.</w:t>
      </w:r>
    </w:p>
    <w:p w14:paraId="3F9061BA" w14:textId="77777777" w:rsidR="00B5615C" w:rsidRPr="00CF71CD" w:rsidRDefault="00B5615C" w:rsidP="0028303A">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28303A" w:rsidRDefault="00CF71CD" w:rsidP="0028303A">
      <w:pPr>
        <w:pStyle w:val="Nvel02"/>
        <w:ind w:left="426"/>
        <w:rPr>
          <w:sz w:val="22"/>
          <w:szCs w:val="22"/>
        </w:rPr>
      </w:pPr>
      <w:r w:rsidRPr="0028303A">
        <w:rPr>
          <w:sz w:val="22"/>
          <w:szCs w:val="22"/>
        </w:rPr>
        <w:t>A participação nesta Contratação Pública implica no conhecimento integral dos termos e condições nela inseridos, por parte dos proponentes, bem como das demais normas legais que disciplinam a matéria.</w:t>
      </w:r>
    </w:p>
    <w:p w14:paraId="3BC0462C" w14:textId="0005A172" w:rsidR="00CF71CD" w:rsidRPr="0028303A" w:rsidRDefault="00CF71CD" w:rsidP="0028303A">
      <w:pPr>
        <w:pStyle w:val="Nvel02"/>
        <w:ind w:left="426"/>
        <w:rPr>
          <w:sz w:val="22"/>
          <w:szCs w:val="22"/>
        </w:rPr>
      </w:pPr>
      <w:r w:rsidRPr="0028303A">
        <w:rPr>
          <w:sz w:val="22"/>
          <w:szCs w:val="22"/>
        </w:rPr>
        <w:t>As partes não estão eximidas do cumprimento de obrigações e responsabilidades previstas na legislação vigente e não expressas neste Termo de Referência.</w:t>
      </w:r>
    </w:p>
    <w:p w14:paraId="418674AF" w14:textId="682805A7" w:rsidR="007024EE" w:rsidRPr="0028303A" w:rsidRDefault="007024EE" w:rsidP="0028303A">
      <w:pPr>
        <w:pStyle w:val="Nvel02"/>
        <w:ind w:left="426"/>
        <w:rPr>
          <w:sz w:val="22"/>
          <w:szCs w:val="22"/>
        </w:rPr>
      </w:pPr>
      <w:r w:rsidRPr="0028303A">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28303A" w:rsidRDefault="00CF71CD" w:rsidP="0028303A">
      <w:pPr>
        <w:pStyle w:val="Nvel02"/>
        <w:ind w:left="426"/>
        <w:rPr>
          <w:sz w:val="22"/>
          <w:szCs w:val="22"/>
        </w:rPr>
      </w:pPr>
      <w:r w:rsidRPr="0028303A">
        <w:rPr>
          <w:sz w:val="22"/>
          <w:szCs w:val="22"/>
        </w:rPr>
        <w:t xml:space="preserve">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2F4BC074"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28303A">
        <w:rPr>
          <w:rFonts w:ascii="Arial" w:hAnsi="Arial" w:cs="Arial"/>
          <w:sz w:val="22"/>
          <w:szCs w:val="22"/>
        </w:rPr>
        <w:t>09</w:t>
      </w:r>
      <w:r w:rsidR="00B25A8B">
        <w:rPr>
          <w:rFonts w:ascii="Arial" w:hAnsi="Arial" w:cs="Arial"/>
          <w:sz w:val="22"/>
          <w:szCs w:val="22"/>
        </w:rPr>
        <w:t xml:space="preserve"> de janeiro de 2026.</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6BAEA5EF"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Responsável pela </w:t>
      </w:r>
      <w:r w:rsidR="0028303A">
        <w:rPr>
          <w:rFonts w:ascii="Arial" w:hAnsi="Arial" w:cs="Arial"/>
          <w:sz w:val="22"/>
          <w:szCs w:val="22"/>
        </w:rPr>
        <w:t>redação</w:t>
      </w:r>
      <w:r w:rsidRPr="005874B7">
        <w:rPr>
          <w:rFonts w:ascii="Arial" w:hAnsi="Arial" w:cs="Arial"/>
          <w:sz w:val="22"/>
          <w:szCs w:val="22"/>
        </w:rPr>
        <w:t xml:space="preserve"> do Termo de Referência:</w:t>
      </w:r>
    </w:p>
    <w:p w14:paraId="597A4771" w14:textId="2547C130" w:rsidR="00E253F1" w:rsidRDefault="0028303A" w:rsidP="00E253F1">
      <w:pPr>
        <w:spacing w:line="276" w:lineRule="auto"/>
        <w:jc w:val="center"/>
        <w:rPr>
          <w:rFonts w:ascii="Arial" w:hAnsi="Arial" w:cs="Arial"/>
          <w:b/>
          <w:sz w:val="22"/>
          <w:szCs w:val="22"/>
        </w:rPr>
      </w:pPr>
      <w:r>
        <w:rPr>
          <w:rFonts w:ascii="Arial" w:hAnsi="Arial" w:cs="Arial"/>
          <w:b/>
          <w:sz w:val="22"/>
          <w:szCs w:val="22"/>
        </w:rPr>
        <w:t>Guilherme Trevizoli Salomão</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473EFE7" w:rsidR="00DF2A9A" w:rsidRPr="005874B7" w:rsidRDefault="0028303A"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20057242" w14:textId="09496AF5" w:rsidR="00B25A8B" w:rsidRDefault="0028303A" w:rsidP="00DF2A9A">
      <w:pPr>
        <w:spacing w:line="276" w:lineRule="auto"/>
        <w:jc w:val="center"/>
        <w:rPr>
          <w:rFonts w:ascii="Arial" w:hAnsi="Arial" w:cs="Arial"/>
          <w:b/>
          <w:sz w:val="22"/>
          <w:szCs w:val="22"/>
        </w:rPr>
      </w:pPr>
      <w:r>
        <w:rPr>
          <w:rFonts w:ascii="Arial" w:hAnsi="Arial" w:cs="Arial"/>
          <w:b/>
          <w:sz w:val="22"/>
          <w:szCs w:val="22"/>
        </w:rPr>
        <w:t xml:space="preserve">Paulo César </w:t>
      </w:r>
      <w:proofErr w:type="spellStart"/>
      <w:r>
        <w:rPr>
          <w:rFonts w:ascii="Arial" w:hAnsi="Arial" w:cs="Arial"/>
          <w:b/>
          <w:sz w:val="22"/>
          <w:szCs w:val="22"/>
        </w:rPr>
        <w:t>Aoyagui</w:t>
      </w:r>
      <w:proofErr w:type="spellEnd"/>
    </w:p>
    <w:p w14:paraId="75766A26" w14:textId="6780E7A9" w:rsidR="00E253F1" w:rsidRPr="005874B7" w:rsidRDefault="001850A8"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listItem w:displayText="Chefe do Setor de Recursos Humanos" w:value="Chefe do Setor de Recursos Humanos"/>
          </w:comboBox>
        </w:sdtPr>
        <w:sdtEndPr/>
        <w:sdtContent>
          <w:r w:rsidR="0028303A">
            <w:rPr>
              <w:rFonts w:ascii="Arial" w:hAnsi="Arial" w:cs="Arial"/>
              <w:sz w:val="22"/>
              <w:szCs w:val="22"/>
            </w:rPr>
            <w:t>Diretor Administrativo</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68E53FDA" w14:textId="77777777" w:rsidR="001850A8" w:rsidRDefault="001850A8" w:rsidP="00E253F1">
      <w:pPr>
        <w:rPr>
          <w:rFonts w:ascii="Arial" w:hAnsi="Arial" w:cs="Arial"/>
        </w:rPr>
      </w:pPr>
    </w:p>
    <w:p w14:paraId="5C914801" w14:textId="77777777" w:rsidR="001850A8" w:rsidRDefault="001850A8" w:rsidP="00E253F1">
      <w:pPr>
        <w:rPr>
          <w:rFonts w:ascii="Arial" w:hAnsi="Arial" w:cs="Arial"/>
        </w:rPr>
      </w:pPr>
    </w:p>
    <w:p w14:paraId="06E44F19" w14:textId="77777777" w:rsidR="001850A8" w:rsidRDefault="001850A8" w:rsidP="00E253F1">
      <w:pPr>
        <w:rPr>
          <w:rFonts w:ascii="Arial" w:hAnsi="Arial" w:cs="Arial"/>
        </w:rPr>
      </w:pPr>
    </w:p>
    <w:p w14:paraId="4A82A646" w14:textId="77777777" w:rsidR="001850A8" w:rsidRDefault="001850A8" w:rsidP="00E253F1">
      <w:pPr>
        <w:rPr>
          <w:rFonts w:ascii="Arial" w:hAnsi="Arial" w:cs="Arial"/>
        </w:rPr>
      </w:pPr>
    </w:p>
    <w:p w14:paraId="3AE87F5B" w14:textId="77777777" w:rsidR="001850A8" w:rsidRDefault="001850A8" w:rsidP="00E253F1">
      <w:pPr>
        <w:rPr>
          <w:rFonts w:ascii="Arial" w:hAnsi="Arial" w:cs="Arial"/>
        </w:rPr>
      </w:pPr>
    </w:p>
    <w:p w14:paraId="09F24751" w14:textId="77777777" w:rsidR="001850A8" w:rsidRDefault="001850A8" w:rsidP="00E253F1">
      <w:pPr>
        <w:rPr>
          <w:rFonts w:ascii="Arial" w:hAnsi="Arial" w:cs="Arial"/>
        </w:rPr>
      </w:pPr>
    </w:p>
    <w:p w14:paraId="4913F2CC" w14:textId="77777777" w:rsidR="001850A8" w:rsidRDefault="001850A8" w:rsidP="00E253F1">
      <w:pPr>
        <w:rPr>
          <w:rFonts w:ascii="Arial" w:hAnsi="Arial" w:cs="Arial"/>
        </w:rPr>
      </w:pPr>
    </w:p>
    <w:p w14:paraId="1500D362" w14:textId="77777777" w:rsidR="001850A8" w:rsidRDefault="001850A8" w:rsidP="00E253F1">
      <w:pPr>
        <w:rPr>
          <w:rFonts w:ascii="Arial" w:hAnsi="Arial" w:cs="Arial"/>
        </w:rPr>
      </w:pPr>
    </w:p>
    <w:p w14:paraId="0B5AF05B" w14:textId="77777777" w:rsidR="001850A8" w:rsidRDefault="001850A8" w:rsidP="00E253F1">
      <w:pPr>
        <w:rPr>
          <w:rFonts w:ascii="Arial" w:hAnsi="Arial" w:cs="Arial"/>
        </w:rPr>
      </w:pPr>
    </w:p>
    <w:p w14:paraId="7921520B" w14:textId="77777777" w:rsidR="001850A8" w:rsidRDefault="001850A8" w:rsidP="00E253F1">
      <w:pPr>
        <w:rPr>
          <w:rFonts w:ascii="Arial" w:hAnsi="Arial" w:cs="Arial"/>
        </w:rPr>
      </w:pPr>
    </w:p>
    <w:p w14:paraId="7D9333B8" w14:textId="77777777" w:rsidR="001850A8" w:rsidRDefault="001850A8" w:rsidP="00E253F1">
      <w:pPr>
        <w:rPr>
          <w:rFonts w:ascii="Arial" w:hAnsi="Arial" w:cs="Arial"/>
        </w:rPr>
      </w:pPr>
    </w:p>
    <w:p w14:paraId="52CF198C" w14:textId="77777777" w:rsidR="001850A8" w:rsidRDefault="001850A8" w:rsidP="00E253F1">
      <w:pPr>
        <w:rPr>
          <w:rFonts w:ascii="Arial" w:hAnsi="Arial" w:cs="Arial"/>
        </w:rPr>
      </w:pPr>
    </w:p>
    <w:p w14:paraId="1026C51A" w14:textId="77777777" w:rsidR="001850A8" w:rsidRDefault="001850A8" w:rsidP="00E253F1">
      <w:pPr>
        <w:rPr>
          <w:rFonts w:ascii="Arial" w:hAnsi="Arial" w:cs="Arial"/>
        </w:rPr>
      </w:pPr>
    </w:p>
    <w:p w14:paraId="330D2D5A" w14:textId="77777777" w:rsidR="001850A8" w:rsidRDefault="001850A8"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26BF1F2C" w14:textId="77777777" w:rsidR="008A4257" w:rsidRDefault="008A4257" w:rsidP="008A4257">
      <w:pPr>
        <w:jc w:val="center"/>
        <w:rPr>
          <w:rFonts w:ascii="Arial" w:hAnsi="Arial" w:cs="Arial"/>
          <w:b/>
          <w:bCs/>
        </w:rPr>
      </w:pPr>
      <w:r>
        <w:rPr>
          <w:rFonts w:ascii="Arial" w:hAnsi="Arial" w:cs="Arial"/>
          <w:b/>
          <w:bCs/>
        </w:rPr>
        <w:t>MODELO DE PROPOSTA DETALHADA</w:t>
      </w:r>
    </w:p>
    <w:p w14:paraId="0D1BA312" w14:textId="77777777" w:rsidR="008A4257" w:rsidRDefault="008A4257" w:rsidP="008A4257">
      <w:pPr>
        <w:jc w:val="center"/>
        <w:rPr>
          <w:rFonts w:ascii="Arial" w:hAnsi="Arial" w:cs="Arial"/>
          <w:b/>
          <w:bCs/>
        </w:rPr>
      </w:pPr>
    </w:p>
    <w:p w14:paraId="784B9E79" w14:textId="5812DF44"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C722EE">
            <w:rPr>
              <w:rFonts w:ascii="Arial" w:hAnsi="Arial" w:cs="Arial"/>
              <w:b/>
              <w:u w:val="single"/>
            </w:rPr>
            <w:t>259/2026</w:t>
          </w:r>
        </w:sdtContent>
      </w:sdt>
    </w:p>
    <w:p w14:paraId="7FC2E98D" w14:textId="77777777" w:rsidR="008A4257" w:rsidRDefault="008A4257" w:rsidP="008A4257">
      <w:pPr>
        <w:rPr>
          <w:rFonts w:ascii="Arial" w:hAnsi="Arial" w:cs="Arial"/>
          <w:b/>
          <w:u w:val="single"/>
        </w:rPr>
      </w:pPr>
    </w:p>
    <w:p w14:paraId="7386B9D6" w14:textId="1A1B60FD"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8303A">
            <w:rPr>
              <w:rFonts w:ascii="Arial" w:hAnsi="Arial" w:cs="Arial"/>
              <w:b/>
            </w:rPr>
            <w:t>06/2026</w:t>
          </w:r>
        </w:sdtContent>
      </w:sdt>
      <w:r w:rsidR="00133548">
        <w:rPr>
          <w:rFonts w:ascii="Arial" w:hAnsi="Arial" w:cs="Arial"/>
        </w:rPr>
        <w:t xml:space="preserve"> </w:t>
      </w:r>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Default="008A4257" w:rsidP="008A4257">
      <w:pPr>
        <w:jc w:val="center"/>
        <w:rPr>
          <w:rFonts w:ascii="Arial" w:hAnsi="Arial" w:cs="Arial"/>
          <w:b/>
          <w:bCs/>
        </w:rPr>
      </w:pPr>
    </w:p>
    <w:tbl>
      <w:tblPr>
        <w:tblStyle w:val="Tabelacomgrade"/>
        <w:tblW w:w="9349" w:type="dxa"/>
        <w:tblInd w:w="-5" w:type="dxa"/>
        <w:tblLook w:val="04A0" w:firstRow="1" w:lastRow="0" w:firstColumn="1" w:lastColumn="0" w:noHBand="0" w:noVBand="1"/>
      </w:tblPr>
      <w:tblGrid>
        <w:gridCol w:w="974"/>
        <w:gridCol w:w="3631"/>
        <w:gridCol w:w="1683"/>
        <w:gridCol w:w="1447"/>
        <w:gridCol w:w="1614"/>
      </w:tblGrid>
      <w:tr w:rsidR="00BA495E" w:rsidRPr="005874B7" w14:paraId="451B36B4" w14:textId="730ACB39" w:rsidTr="00BA495E">
        <w:tc>
          <w:tcPr>
            <w:tcW w:w="974" w:type="dxa"/>
          </w:tcPr>
          <w:p w14:paraId="063382A5" w14:textId="77777777" w:rsidR="00BA495E" w:rsidRPr="005874B7" w:rsidRDefault="00BA495E" w:rsidP="00BA495E">
            <w:pPr>
              <w:pStyle w:val="PargrafodaLista"/>
              <w:spacing w:line="276" w:lineRule="auto"/>
              <w:ind w:left="0"/>
              <w:jc w:val="center"/>
              <w:rPr>
                <w:rFonts w:ascii="Arial" w:hAnsi="Arial" w:cs="Arial"/>
                <w:b/>
                <w:sz w:val="22"/>
                <w:szCs w:val="22"/>
              </w:rPr>
            </w:pPr>
            <w:r w:rsidRPr="005874B7">
              <w:rPr>
                <w:rFonts w:ascii="Arial" w:hAnsi="Arial" w:cs="Arial"/>
                <w:b/>
                <w:sz w:val="22"/>
                <w:szCs w:val="22"/>
              </w:rPr>
              <w:t>ITEM</w:t>
            </w:r>
          </w:p>
        </w:tc>
        <w:tc>
          <w:tcPr>
            <w:tcW w:w="3631" w:type="dxa"/>
          </w:tcPr>
          <w:p w14:paraId="0127B283" w14:textId="77777777" w:rsidR="00BA495E" w:rsidRPr="005874B7" w:rsidRDefault="00BA495E" w:rsidP="00BA495E">
            <w:pPr>
              <w:pStyle w:val="PargrafodaLista"/>
              <w:spacing w:line="276" w:lineRule="auto"/>
              <w:ind w:left="0"/>
              <w:jc w:val="center"/>
              <w:rPr>
                <w:rFonts w:ascii="Arial" w:hAnsi="Arial" w:cs="Arial"/>
                <w:b/>
                <w:sz w:val="22"/>
                <w:szCs w:val="22"/>
              </w:rPr>
            </w:pPr>
            <w:r w:rsidRPr="005874B7">
              <w:rPr>
                <w:rFonts w:ascii="Arial" w:hAnsi="Arial" w:cs="Arial"/>
                <w:b/>
                <w:sz w:val="22"/>
                <w:szCs w:val="22"/>
              </w:rPr>
              <w:t>DESCRIÇÕES</w:t>
            </w:r>
          </w:p>
        </w:tc>
        <w:tc>
          <w:tcPr>
            <w:tcW w:w="1683" w:type="dxa"/>
          </w:tcPr>
          <w:p w14:paraId="6AF7F267" w14:textId="4786841D" w:rsidR="00BA495E" w:rsidRPr="005874B7" w:rsidRDefault="00BA495E" w:rsidP="00BA495E">
            <w:pPr>
              <w:pStyle w:val="PargrafodaLista"/>
              <w:spacing w:line="276" w:lineRule="auto"/>
              <w:ind w:left="0"/>
              <w:jc w:val="center"/>
              <w:rPr>
                <w:rFonts w:ascii="Arial" w:hAnsi="Arial" w:cs="Arial"/>
                <w:b/>
                <w:sz w:val="22"/>
                <w:szCs w:val="22"/>
              </w:rPr>
            </w:pPr>
            <w:r>
              <w:rPr>
                <w:rFonts w:ascii="Arial" w:hAnsi="Arial" w:cs="Arial"/>
                <w:b/>
                <w:sz w:val="22"/>
                <w:szCs w:val="22"/>
              </w:rPr>
              <w:t>QUANTIDADE</w:t>
            </w:r>
          </w:p>
        </w:tc>
        <w:tc>
          <w:tcPr>
            <w:tcW w:w="1447" w:type="dxa"/>
          </w:tcPr>
          <w:p w14:paraId="50121DAD" w14:textId="21A0B406" w:rsidR="00BA495E" w:rsidRDefault="00BA495E" w:rsidP="00BA495E">
            <w:pPr>
              <w:pStyle w:val="PargrafodaLista"/>
              <w:spacing w:line="276" w:lineRule="auto"/>
              <w:ind w:left="0"/>
              <w:jc w:val="center"/>
              <w:rPr>
                <w:rFonts w:ascii="Arial" w:hAnsi="Arial" w:cs="Arial"/>
                <w:b/>
                <w:sz w:val="22"/>
                <w:szCs w:val="22"/>
              </w:rPr>
            </w:pPr>
            <w:r>
              <w:rPr>
                <w:rFonts w:ascii="Arial" w:hAnsi="Arial" w:cs="Arial"/>
                <w:b/>
                <w:sz w:val="22"/>
                <w:szCs w:val="22"/>
              </w:rPr>
              <w:t>VALOR UNITÁRIO</w:t>
            </w:r>
          </w:p>
        </w:tc>
        <w:tc>
          <w:tcPr>
            <w:tcW w:w="1614" w:type="dxa"/>
          </w:tcPr>
          <w:p w14:paraId="00232F3D" w14:textId="2D27182E" w:rsidR="00BA495E" w:rsidRPr="005874B7" w:rsidRDefault="00BA495E" w:rsidP="00BA495E">
            <w:pPr>
              <w:pStyle w:val="PargrafodaLista"/>
              <w:spacing w:line="276" w:lineRule="auto"/>
              <w:ind w:left="0"/>
              <w:jc w:val="center"/>
              <w:rPr>
                <w:rFonts w:ascii="Arial" w:hAnsi="Arial" w:cs="Arial"/>
                <w:b/>
                <w:sz w:val="22"/>
                <w:szCs w:val="22"/>
              </w:rPr>
            </w:pPr>
            <w:r>
              <w:rPr>
                <w:rFonts w:ascii="Arial" w:hAnsi="Arial" w:cs="Arial"/>
                <w:b/>
                <w:sz w:val="22"/>
                <w:szCs w:val="22"/>
              </w:rPr>
              <w:t>VALOR TOTAL</w:t>
            </w:r>
          </w:p>
        </w:tc>
      </w:tr>
      <w:tr w:rsidR="00BA495E" w:rsidRPr="005874B7" w14:paraId="654CEDD0" w14:textId="60D7EF6E" w:rsidTr="00BA495E">
        <w:tc>
          <w:tcPr>
            <w:tcW w:w="974" w:type="dxa"/>
          </w:tcPr>
          <w:p w14:paraId="400E8250" w14:textId="77777777" w:rsidR="00BA495E" w:rsidRPr="005874B7" w:rsidRDefault="00BA495E" w:rsidP="00044BF5">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3631" w:type="dxa"/>
          </w:tcPr>
          <w:p w14:paraId="28C48BB1" w14:textId="5B45E771" w:rsidR="00BA495E" w:rsidRPr="00BA495E" w:rsidRDefault="00BA495E" w:rsidP="00BA495E">
            <w:pPr>
              <w:spacing w:line="276" w:lineRule="auto"/>
              <w:jc w:val="both"/>
              <w:rPr>
                <w:rFonts w:ascii="Arial" w:hAnsi="Arial" w:cs="Arial"/>
                <w:bCs/>
                <w:sz w:val="22"/>
                <w:szCs w:val="22"/>
              </w:rPr>
            </w:pPr>
            <w:r w:rsidRPr="003A7F59">
              <w:rPr>
                <w:rFonts w:ascii="Arial" w:hAnsi="Arial" w:cs="Arial"/>
                <w:sz w:val="22"/>
                <w:szCs w:val="22"/>
              </w:rPr>
              <w:t xml:space="preserve">Contratação de empresa para fornecimento de até 20 (vinte) </w:t>
            </w:r>
            <w:r w:rsidRPr="003A7F59">
              <w:rPr>
                <w:rFonts w:ascii="Arial" w:hAnsi="Arial" w:cs="Arial"/>
                <w:b/>
                <w:sz w:val="22"/>
                <w:szCs w:val="22"/>
              </w:rPr>
              <w:t xml:space="preserve">e-CPF A3, padrão ICP Brasil, com validade de 36 (trinta e seis) meses, </w:t>
            </w:r>
            <w:r w:rsidRPr="003A7F59">
              <w:rPr>
                <w:rFonts w:ascii="Arial" w:hAnsi="Arial" w:cs="Arial"/>
                <w:bCs/>
                <w:sz w:val="22"/>
                <w:szCs w:val="22"/>
              </w:rPr>
              <w:t>armazenados em token.</w:t>
            </w:r>
          </w:p>
        </w:tc>
        <w:tc>
          <w:tcPr>
            <w:tcW w:w="1683" w:type="dxa"/>
          </w:tcPr>
          <w:p w14:paraId="172FC811" w14:textId="35AEB4AD" w:rsidR="00BA495E" w:rsidRPr="005874B7" w:rsidRDefault="00BA495E" w:rsidP="00044BF5">
            <w:pPr>
              <w:pStyle w:val="PargrafodaLista"/>
              <w:spacing w:line="276" w:lineRule="auto"/>
              <w:ind w:left="0"/>
              <w:jc w:val="center"/>
              <w:rPr>
                <w:rFonts w:ascii="Arial" w:hAnsi="Arial" w:cs="Arial"/>
                <w:b/>
                <w:sz w:val="22"/>
                <w:szCs w:val="22"/>
              </w:rPr>
            </w:pPr>
            <w:r>
              <w:rPr>
                <w:rFonts w:ascii="Arial" w:hAnsi="Arial" w:cs="Arial"/>
                <w:b/>
                <w:sz w:val="22"/>
                <w:szCs w:val="22"/>
              </w:rPr>
              <w:t>20</w:t>
            </w:r>
          </w:p>
          <w:p w14:paraId="1F1AE196" w14:textId="77777777" w:rsidR="00BA495E" w:rsidRPr="005874B7" w:rsidRDefault="00BA495E" w:rsidP="00044BF5">
            <w:pPr>
              <w:pStyle w:val="PargrafodaLista"/>
              <w:spacing w:line="276" w:lineRule="auto"/>
              <w:ind w:left="0"/>
              <w:jc w:val="center"/>
              <w:rPr>
                <w:rFonts w:ascii="Arial" w:hAnsi="Arial" w:cs="Arial"/>
                <w:b/>
                <w:sz w:val="22"/>
                <w:szCs w:val="22"/>
              </w:rPr>
            </w:pPr>
          </w:p>
        </w:tc>
        <w:tc>
          <w:tcPr>
            <w:tcW w:w="1447" w:type="dxa"/>
          </w:tcPr>
          <w:p w14:paraId="1AAD3FD4" w14:textId="77777777" w:rsidR="00BA495E" w:rsidRDefault="00BA495E" w:rsidP="00044BF5">
            <w:pPr>
              <w:pStyle w:val="PargrafodaLista"/>
              <w:spacing w:line="276" w:lineRule="auto"/>
              <w:ind w:left="0"/>
              <w:jc w:val="center"/>
              <w:rPr>
                <w:rFonts w:ascii="Arial" w:hAnsi="Arial" w:cs="Arial"/>
                <w:b/>
                <w:sz w:val="22"/>
                <w:szCs w:val="22"/>
              </w:rPr>
            </w:pPr>
          </w:p>
        </w:tc>
        <w:tc>
          <w:tcPr>
            <w:tcW w:w="1614" w:type="dxa"/>
          </w:tcPr>
          <w:p w14:paraId="5709389C" w14:textId="62095275" w:rsidR="00BA495E" w:rsidRDefault="00BA495E" w:rsidP="00044BF5">
            <w:pPr>
              <w:pStyle w:val="PargrafodaLista"/>
              <w:spacing w:line="276" w:lineRule="auto"/>
              <w:ind w:left="0"/>
              <w:jc w:val="center"/>
              <w:rPr>
                <w:rFonts w:ascii="Arial" w:hAnsi="Arial" w:cs="Arial"/>
                <w:b/>
                <w:sz w:val="22"/>
                <w:szCs w:val="22"/>
              </w:rPr>
            </w:pPr>
          </w:p>
        </w:tc>
      </w:tr>
      <w:tr w:rsidR="00BA495E" w:rsidRPr="005874B7" w14:paraId="69A6E6E1" w14:textId="17CDA53F" w:rsidTr="00BA495E">
        <w:tc>
          <w:tcPr>
            <w:tcW w:w="7735" w:type="dxa"/>
            <w:gridSpan w:val="4"/>
          </w:tcPr>
          <w:p w14:paraId="6EB4E18A" w14:textId="713319E4" w:rsidR="00BA495E" w:rsidRDefault="00BA495E" w:rsidP="00BA495E">
            <w:pPr>
              <w:pStyle w:val="PargrafodaLista"/>
              <w:spacing w:line="276" w:lineRule="auto"/>
              <w:ind w:left="0"/>
              <w:jc w:val="right"/>
              <w:rPr>
                <w:rFonts w:ascii="Arial" w:hAnsi="Arial" w:cs="Arial"/>
                <w:b/>
                <w:sz w:val="22"/>
                <w:szCs w:val="22"/>
              </w:rPr>
            </w:pPr>
            <w:r>
              <w:rPr>
                <w:rFonts w:ascii="Arial" w:hAnsi="Arial" w:cs="Arial"/>
                <w:b/>
                <w:sz w:val="22"/>
                <w:szCs w:val="22"/>
              </w:rPr>
              <w:t>TOTAL:</w:t>
            </w:r>
          </w:p>
        </w:tc>
        <w:tc>
          <w:tcPr>
            <w:tcW w:w="1614" w:type="dxa"/>
          </w:tcPr>
          <w:p w14:paraId="47491CEE" w14:textId="03765C05" w:rsidR="00BA495E" w:rsidRDefault="00BA495E" w:rsidP="00044BF5">
            <w:pPr>
              <w:pStyle w:val="PargrafodaLista"/>
              <w:spacing w:line="276" w:lineRule="auto"/>
              <w:ind w:left="0"/>
              <w:jc w:val="center"/>
              <w:rPr>
                <w:rFonts w:ascii="Arial" w:hAnsi="Arial" w:cs="Arial"/>
                <w:b/>
                <w:sz w:val="22"/>
                <w:szCs w:val="22"/>
              </w:rPr>
            </w:pPr>
          </w:p>
        </w:tc>
      </w:tr>
    </w:tbl>
    <w:p w14:paraId="15E80C6A" w14:textId="77777777" w:rsidR="00577A60" w:rsidRDefault="00577A60" w:rsidP="008A4257">
      <w:pPr>
        <w:rPr>
          <w:rFonts w:ascii="Arial" w:hAnsi="Arial" w:cs="Arial"/>
        </w:rPr>
      </w:pPr>
    </w:p>
    <w:p w14:paraId="0230FD9A" w14:textId="77777777" w:rsidR="00577A60" w:rsidRDefault="00577A60"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00181841"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w:t>
      </w:r>
      <w:r w:rsidR="00BA495E">
        <w:rPr>
          <w:rFonts w:ascii="Arial" w:hAnsi="Arial" w:cs="Arial"/>
        </w:rPr>
        <w:t>6</w:t>
      </w:r>
      <w:r>
        <w:rPr>
          <w:rFonts w:ascii="Arial" w:hAnsi="Arial" w:cs="Arial"/>
        </w:rPr>
        <w:t xml:space="preserve">.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A18D" w14:textId="77777777" w:rsidR="00BD06E4" w:rsidRDefault="00BD06E4">
      <w:r>
        <w:separator/>
      </w:r>
    </w:p>
  </w:endnote>
  <w:endnote w:type="continuationSeparator" w:id="0">
    <w:p w14:paraId="6F43530C" w14:textId="77777777" w:rsidR="00BD06E4" w:rsidRDefault="00BD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04073" w14:textId="77777777" w:rsidR="00BD06E4" w:rsidRDefault="00BD06E4">
      <w:r>
        <w:separator/>
      </w:r>
    </w:p>
  </w:footnote>
  <w:footnote w:type="continuationSeparator" w:id="0">
    <w:p w14:paraId="6711F258" w14:textId="77777777" w:rsidR="00BD06E4" w:rsidRDefault="00BD0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2539D829"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372668CC">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B106D5FE"/>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531E59"/>
    <w:multiLevelType w:val="hybridMultilevel"/>
    <w:tmpl w:val="77A42A52"/>
    <w:lvl w:ilvl="0" w:tplc="CD28247E">
      <w:start w:val="5"/>
      <w:numFmt w:val="bullet"/>
      <w:lvlText w:val=""/>
      <w:lvlJc w:val="left"/>
      <w:pPr>
        <w:ind w:left="720" w:hanging="360"/>
      </w:pPr>
      <w:rPr>
        <w:rFonts w:ascii="Symbol" w:eastAsiaTheme="minorEastAsia"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1"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02430127">
    <w:abstractNumId w:val="0"/>
  </w:num>
  <w:num w:numId="2" w16cid:durableId="2014138074">
    <w:abstractNumId w:val="12"/>
  </w:num>
  <w:num w:numId="3" w16cid:durableId="776564666">
    <w:abstractNumId w:val="4"/>
  </w:num>
  <w:num w:numId="4" w16cid:durableId="1920364706">
    <w:abstractNumId w:val="21"/>
  </w:num>
  <w:num w:numId="5" w16cid:durableId="11802156">
    <w:abstractNumId w:val="10"/>
  </w:num>
  <w:num w:numId="6" w16cid:durableId="1729450368">
    <w:abstractNumId w:val="9"/>
  </w:num>
  <w:num w:numId="7" w16cid:durableId="1314523575">
    <w:abstractNumId w:val="16"/>
  </w:num>
  <w:num w:numId="8" w16cid:durableId="1945066222">
    <w:abstractNumId w:val="11"/>
  </w:num>
  <w:num w:numId="9" w16cid:durableId="1295603367">
    <w:abstractNumId w:val="13"/>
  </w:num>
  <w:num w:numId="10" w16cid:durableId="522742331">
    <w:abstractNumId w:val="5"/>
  </w:num>
  <w:num w:numId="11" w16cid:durableId="224023839">
    <w:abstractNumId w:val="6"/>
  </w:num>
  <w:num w:numId="12" w16cid:durableId="1129085619">
    <w:abstractNumId w:val="3"/>
  </w:num>
  <w:num w:numId="13" w16cid:durableId="14623917">
    <w:abstractNumId w:val="2"/>
  </w:num>
  <w:num w:numId="14" w16cid:durableId="1218664105">
    <w:abstractNumId w:val="8"/>
  </w:num>
  <w:num w:numId="15" w16cid:durableId="791703458">
    <w:abstractNumId w:val="15"/>
  </w:num>
  <w:num w:numId="16" w16cid:durableId="1725904978">
    <w:abstractNumId w:val="18"/>
  </w:num>
  <w:num w:numId="17" w16cid:durableId="1278757764">
    <w:abstractNumId w:val="17"/>
  </w:num>
  <w:num w:numId="18" w16cid:durableId="474223946">
    <w:abstractNumId w:val="20"/>
  </w:num>
  <w:num w:numId="19" w16cid:durableId="2004820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6220545">
    <w:abstractNumId w:val="1"/>
  </w:num>
  <w:num w:numId="21" w16cid:durableId="1092626893">
    <w:abstractNumId w:val="14"/>
  </w:num>
  <w:num w:numId="22" w16cid:durableId="1710950827">
    <w:abstractNumId w:val="7"/>
  </w:num>
  <w:num w:numId="23" w16cid:durableId="111481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6039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903733">
    <w:abstractNumId w:val="19"/>
  </w:num>
  <w:num w:numId="26" w16cid:durableId="1741782891">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43"/>
    <w:rsid w:val="00004A1A"/>
    <w:rsid w:val="0001535B"/>
    <w:rsid w:val="00023EEB"/>
    <w:rsid w:val="000306B1"/>
    <w:rsid w:val="00034DC8"/>
    <w:rsid w:val="00036457"/>
    <w:rsid w:val="00042AB2"/>
    <w:rsid w:val="00044D85"/>
    <w:rsid w:val="000514BA"/>
    <w:rsid w:val="000574A0"/>
    <w:rsid w:val="0006179E"/>
    <w:rsid w:val="000919E9"/>
    <w:rsid w:val="000936CD"/>
    <w:rsid w:val="000C58BA"/>
    <w:rsid w:val="000D3675"/>
    <w:rsid w:val="000D6122"/>
    <w:rsid w:val="000D72AE"/>
    <w:rsid w:val="000E75C5"/>
    <w:rsid w:val="001021D7"/>
    <w:rsid w:val="00107843"/>
    <w:rsid w:val="00113FC0"/>
    <w:rsid w:val="00116626"/>
    <w:rsid w:val="0011715D"/>
    <w:rsid w:val="00133548"/>
    <w:rsid w:val="0013609E"/>
    <w:rsid w:val="001466D1"/>
    <w:rsid w:val="00163107"/>
    <w:rsid w:val="00164051"/>
    <w:rsid w:val="001643E5"/>
    <w:rsid w:val="00167AFF"/>
    <w:rsid w:val="00170852"/>
    <w:rsid w:val="001850A8"/>
    <w:rsid w:val="00195039"/>
    <w:rsid w:val="001A2261"/>
    <w:rsid w:val="001B489A"/>
    <w:rsid w:val="001C1F38"/>
    <w:rsid w:val="001C3AAC"/>
    <w:rsid w:val="001D4128"/>
    <w:rsid w:val="001D63E1"/>
    <w:rsid w:val="001E5D0E"/>
    <w:rsid w:val="002041D7"/>
    <w:rsid w:val="0020789D"/>
    <w:rsid w:val="00211A75"/>
    <w:rsid w:val="00213336"/>
    <w:rsid w:val="0021431D"/>
    <w:rsid w:val="0021660A"/>
    <w:rsid w:val="002213BB"/>
    <w:rsid w:val="00243062"/>
    <w:rsid w:val="0025228C"/>
    <w:rsid w:val="002578DF"/>
    <w:rsid w:val="002625AF"/>
    <w:rsid w:val="00274E02"/>
    <w:rsid w:val="0028303A"/>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A7F59"/>
    <w:rsid w:val="003B182F"/>
    <w:rsid w:val="003D49F0"/>
    <w:rsid w:val="003D7816"/>
    <w:rsid w:val="003E1312"/>
    <w:rsid w:val="003E1376"/>
    <w:rsid w:val="003E27A6"/>
    <w:rsid w:val="003E403D"/>
    <w:rsid w:val="004450CE"/>
    <w:rsid w:val="00457458"/>
    <w:rsid w:val="004663F4"/>
    <w:rsid w:val="0047777C"/>
    <w:rsid w:val="00496CAF"/>
    <w:rsid w:val="004B63C2"/>
    <w:rsid w:val="004C10C5"/>
    <w:rsid w:val="004C5431"/>
    <w:rsid w:val="004D0198"/>
    <w:rsid w:val="004D2F4F"/>
    <w:rsid w:val="00500935"/>
    <w:rsid w:val="005025CC"/>
    <w:rsid w:val="005061C1"/>
    <w:rsid w:val="005109BE"/>
    <w:rsid w:val="00512E04"/>
    <w:rsid w:val="00521F41"/>
    <w:rsid w:val="00532DCC"/>
    <w:rsid w:val="00540B3F"/>
    <w:rsid w:val="00551EF4"/>
    <w:rsid w:val="00563787"/>
    <w:rsid w:val="005703D0"/>
    <w:rsid w:val="005726D3"/>
    <w:rsid w:val="00576164"/>
    <w:rsid w:val="00577A60"/>
    <w:rsid w:val="00580F66"/>
    <w:rsid w:val="00582110"/>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823"/>
    <w:rsid w:val="0061057D"/>
    <w:rsid w:val="00611008"/>
    <w:rsid w:val="00623864"/>
    <w:rsid w:val="00625ADF"/>
    <w:rsid w:val="006341C0"/>
    <w:rsid w:val="00635A45"/>
    <w:rsid w:val="00642A75"/>
    <w:rsid w:val="006544EB"/>
    <w:rsid w:val="0065791D"/>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A7F31"/>
    <w:rsid w:val="007B7814"/>
    <w:rsid w:val="007B7CF2"/>
    <w:rsid w:val="007C2386"/>
    <w:rsid w:val="007D0700"/>
    <w:rsid w:val="007D190E"/>
    <w:rsid w:val="007D3E71"/>
    <w:rsid w:val="007E6419"/>
    <w:rsid w:val="007F041F"/>
    <w:rsid w:val="007F3169"/>
    <w:rsid w:val="007F3A53"/>
    <w:rsid w:val="007F41B0"/>
    <w:rsid w:val="007F5004"/>
    <w:rsid w:val="00835F57"/>
    <w:rsid w:val="00840FE2"/>
    <w:rsid w:val="008439E5"/>
    <w:rsid w:val="008441C4"/>
    <w:rsid w:val="00847D22"/>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F732A"/>
    <w:rsid w:val="00902694"/>
    <w:rsid w:val="00903EE1"/>
    <w:rsid w:val="00904442"/>
    <w:rsid w:val="009078DC"/>
    <w:rsid w:val="00915F8F"/>
    <w:rsid w:val="00921874"/>
    <w:rsid w:val="0093121E"/>
    <w:rsid w:val="00945CF4"/>
    <w:rsid w:val="00960ED9"/>
    <w:rsid w:val="009810D5"/>
    <w:rsid w:val="00983CEB"/>
    <w:rsid w:val="00984CCA"/>
    <w:rsid w:val="009960CF"/>
    <w:rsid w:val="00996981"/>
    <w:rsid w:val="009A33F7"/>
    <w:rsid w:val="009D11CA"/>
    <w:rsid w:val="009D3251"/>
    <w:rsid w:val="009E2F67"/>
    <w:rsid w:val="00A06CA8"/>
    <w:rsid w:val="00A11A4F"/>
    <w:rsid w:val="00A15B2E"/>
    <w:rsid w:val="00A27BF0"/>
    <w:rsid w:val="00A31D2B"/>
    <w:rsid w:val="00A34C16"/>
    <w:rsid w:val="00A422AB"/>
    <w:rsid w:val="00A44926"/>
    <w:rsid w:val="00A548BE"/>
    <w:rsid w:val="00A56B29"/>
    <w:rsid w:val="00A64AD2"/>
    <w:rsid w:val="00A66274"/>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25A8B"/>
    <w:rsid w:val="00B434F0"/>
    <w:rsid w:val="00B5615C"/>
    <w:rsid w:val="00B63358"/>
    <w:rsid w:val="00B662B1"/>
    <w:rsid w:val="00B7455E"/>
    <w:rsid w:val="00B875A5"/>
    <w:rsid w:val="00BA2AB1"/>
    <w:rsid w:val="00BA4659"/>
    <w:rsid w:val="00BA495E"/>
    <w:rsid w:val="00BD06E4"/>
    <w:rsid w:val="00BD10CC"/>
    <w:rsid w:val="00BF13CD"/>
    <w:rsid w:val="00BF1FD0"/>
    <w:rsid w:val="00C0119A"/>
    <w:rsid w:val="00C20341"/>
    <w:rsid w:val="00C2474A"/>
    <w:rsid w:val="00C33A10"/>
    <w:rsid w:val="00C429CC"/>
    <w:rsid w:val="00C456ED"/>
    <w:rsid w:val="00C513CC"/>
    <w:rsid w:val="00C57EF6"/>
    <w:rsid w:val="00C6429C"/>
    <w:rsid w:val="00C722EE"/>
    <w:rsid w:val="00C77394"/>
    <w:rsid w:val="00C81973"/>
    <w:rsid w:val="00C916D3"/>
    <w:rsid w:val="00CA2E1C"/>
    <w:rsid w:val="00CA7262"/>
    <w:rsid w:val="00CB0A65"/>
    <w:rsid w:val="00CB3722"/>
    <w:rsid w:val="00CB5A2A"/>
    <w:rsid w:val="00CB6549"/>
    <w:rsid w:val="00CD5970"/>
    <w:rsid w:val="00CE0F23"/>
    <w:rsid w:val="00CF17D4"/>
    <w:rsid w:val="00CF71CD"/>
    <w:rsid w:val="00D00DE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D0B02"/>
    <w:rsid w:val="00DD6542"/>
    <w:rsid w:val="00DE415E"/>
    <w:rsid w:val="00DE59E2"/>
    <w:rsid w:val="00DF2A9A"/>
    <w:rsid w:val="00DF55C6"/>
    <w:rsid w:val="00DF7327"/>
    <w:rsid w:val="00E0132C"/>
    <w:rsid w:val="00E0286F"/>
    <w:rsid w:val="00E055D2"/>
    <w:rsid w:val="00E10C77"/>
    <w:rsid w:val="00E1251C"/>
    <w:rsid w:val="00E159F1"/>
    <w:rsid w:val="00E16BAD"/>
    <w:rsid w:val="00E253F1"/>
    <w:rsid w:val="00E416BE"/>
    <w:rsid w:val="00E500DE"/>
    <w:rsid w:val="00E64C75"/>
    <w:rsid w:val="00E67FB1"/>
    <w:rsid w:val="00E768E8"/>
    <w:rsid w:val="00E84CBF"/>
    <w:rsid w:val="00EA25E7"/>
    <w:rsid w:val="00EA5126"/>
    <w:rsid w:val="00EA5305"/>
    <w:rsid w:val="00EB3111"/>
    <w:rsid w:val="00EC1221"/>
    <w:rsid w:val="00EC1D61"/>
    <w:rsid w:val="00ED29CD"/>
    <w:rsid w:val="00ED617C"/>
    <w:rsid w:val="00ED7BC7"/>
    <w:rsid w:val="00EE2441"/>
    <w:rsid w:val="00EE7AE7"/>
    <w:rsid w:val="00EF15E1"/>
    <w:rsid w:val="00F01F92"/>
    <w:rsid w:val="00F111A6"/>
    <w:rsid w:val="00F20F91"/>
    <w:rsid w:val="00F33DF4"/>
    <w:rsid w:val="00F34685"/>
    <w:rsid w:val="00F405A5"/>
    <w:rsid w:val="00F4078E"/>
    <w:rsid w:val="00F46E07"/>
    <w:rsid w:val="00F50922"/>
    <w:rsid w:val="00F61535"/>
    <w:rsid w:val="00F6767E"/>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D795F"/>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15:docId w15:val="{5CEECAC0-B955-47DF-99E2-DA0A68B4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28303A"/>
    <w:rPr>
      <w:rFonts w:ascii="Arial" w:eastAsia="Arial" w:hAnsi="Arial" w:cs="Arial"/>
      <w:iCs/>
    </w:rPr>
  </w:style>
  <w:style w:type="paragraph" w:customStyle="1" w:styleId="Nvel02">
    <w:name w:val="Nível 02"/>
    <w:basedOn w:val="Nivel2-Opcional"/>
    <w:link w:val="Nvel02Char"/>
    <w:autoRedefine/>
    <w:qFormat/>
    <w:rsid w:val="0028303A"/>
    <w:pPr>
      <w:numPr>
        <w:ilvl w:val="1"/>
        <w:numId w:val="9"/>
      </w:numPr>
      <w:shd w:val="clear" w:color="auto" w:fill="auto"/>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331959"/>
    <w:rsid w:val="00384ECD"/>
    <w:rsid w:val="00585484"/>
    <w:rsid w:val="006079F3"/>
    <w:rsid w:val="006160F4"/>
    <w:rsid w:val="006232E5"/>
    <w:rsid w:val="007F041F"/>
    <w:rsid w:val="008602E1"/>
    <w:rsid w:val="00A56B29"/>
    <w:rsid w:val="00AE36E6"/>
    <w:rsid w:val="00BA5BFF"/>
    <w:rsid w:val="00CB0A65"/>
    <w:rsid w:val="00D67209"/>
    <w:rsid w:val="00F33DF4"/>
    <w:rsid w:val="00F346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3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63D8A0C-2F8A-489B-B0EB-0BDD7EEF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10</Pages>
  <Words>3274</Words>
  <Characters>17681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259/2026</dc:subject>
  <dc:creator>José Reinaldo Oliveira Moura</dc:creator>
  <cp:lastModifiedBy>Setor de Suprimentos, Compras e Patrimônio</cp:lastModifiedBy>
  <cp:revision>9</cp:revision>
  <cp:lastPrinted>2025-05-20T19:34:00Z</cp:lastPrinted>
  <dcterms:created xsi:type="dcterms:W3CDTF">2026-01-08T13:51:00Z</dcterms:created>
  <dcterms:modified xsi:type="dcterms:W3CDTF">2026-02-05T19:38:00Z</dcterms:modified>
  <cp:contentStatus>06/2026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