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F470AC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F470A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3514D332" w:rsidR="00EC28A5" w:rsidRPr="005F40E2" w:rsidRDefault="003F7F3D" w:rsidP="00615D9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F470AC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5F2EE2" w:rsidRPr="005F2EE2">
        <w:rPr>
          <w:rFonts w:ascii="Arial" w:hAnsi="Arial" w:cs="Arial"/>
          <w:sz w:val="22"/>
          <w:szCs w:val="22"/>
          <w:shd w:val="clear" w:color="auto" w:fill="FFFFFF"/>
        </w:rPr>
        <w:t xml:space="preserve">contratação de empresa especializada </w:t>
      </w:r>
      <w:r w:rsidR="00615D97">
        <w:rPr>
          <w:rFonts w:ascii="Arial" w:hAnsi="Arial" w:cs="Arial"/>
          <w:sz w:val="22"/>
          <w:szCs w:val="22"/>
          <w:shd w:val="clear" w:color="auto" w:fill="FFFFFF"/>
        </w:rPr>
        <w:t xml:space="preserve">para fornecimento </w:t>
      </w:r>
      <w:r w:rsidR="00615D97" w:rsidRPr="00615D97">
        <w:rPr>
          <w:rFonts w:ascii="Arial" w:hAnsi="Arial" w:cs="Arial"/>
          <w:sz w:val="22"/>
          <w:szCs w:val="22"/>
          <w:shd w:val="clear" w:color="auto" w:fill="FFFFFF"/>
        </w:rPr>
        <w:t>de materiais diversos de</w:t>
      </w:r>
      <w:r w:rsidR="00615D9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15D97" w:rsidRPr="00615D97">
        <w:rPr>
          <w:rFonts w:ascii="Arial" w:hAnsi="Arial" w:cs="Arial"/>
          <w:sz w:val="22"/>
          <w:szCs w:val="22"/>
          <w:shd w:val="clear" w:color="auto" w:fill="FFFFFF"/>
        </w:rPr>
        <w:t>manutenção predial, elétrica e hidráulica, destinados ao atendimento das demandas</w:t>
      </w:r>
      <w:r w:rsidR="00615D9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15D97" w:rsidRPr="00615D97">
        <w:rPr>
          <w:rFonts w:ascii="Arial" w:hAnsi="Arial" w:cs="Arial"/>
          <w:sz w:val="22"/>
          <w:szCs w:val="22"/>
          <w:shd w:val="clear" w:color="auto" w:fill="FFFFFF"/>
        </w:rPr>
        <w:t>operacionais da Câmara Municipal de Santa Bárbara d’Oeste</w:t>
      </w:r>
      <w:r w:rsidR="008D0736">
        <w:rPr>
          <w:rFonts w:ascii="Arial" w:hAnsi="Arial" w:cs="Arial"/>
          <w:sz w:val="22"/>
          <w:szCs w:val="22"/>
        </w:rPr>
        <w:t>,</w:t>
      </w:r>
      <w:r w:rsidR="005E375B">
        <w:rPr>
          <w:rFonts w:ascii="Arial" w:hAnsi="Arial" w:cs="Arial"/>
          <w:sz w:val="22"/>
          <w:szCs w:val="22"/>
        </w:rPr>
        <w:t xml:space="preserve"> serão dividida </w:t>
      </w:r>
      <w:r w:rsidR="005E375B" w:rsidRPr="00035352">
        <w:rPr>
          <w:rFonts w:ascii="Arial" w:hAnsi="Arial" w:cs="Arial"/>
          <w:b/>
          <w:bCs/>
          <w:sz w:val="22"/>
          <w:szCs w:val="22"/>
        </w:rPr>
        <w:t>em 7 LOTES</w:t>
      </w:r>
      <w:r w:rsidR="005E375B">
        <w:rPr>
          <w:rFonts w:ascii="Arial" w:hAnsi="Arial" w:cs="Arial"/>
          <w:sz w:val="22"/>
          <w:szCs w:val="22"/>
        </w:rPr>
        <w:t xml:space="preserve"> com o </w:t>
      </w:r>
      <w:r w:rsidR="005E375B" w:rsidRPr="005E375B">
        <w:rPr>
          <w:rFonts w:ascii="Arial" w:hAnsi="Arial" w:cs="Arial"/>
          <w:b/>
          <w:bCs/>
          <w:sz w:val="22"/>
          <w:szCs w:val="22"/>
        </w:rPr>
        <w:t>critério</w:t>
      </w:r>
      <w:r w:rsidR="005E375B">
        <w:rPr>
          <w:rFonts w:ascii="Arial" w:hAnsi="Arial" w:cs="Arial"/>
          <w:b/>
          <w:bCs/>
          <w:sz w:val="22"/>
          <w:szCs w:val="22"/>
        </w:rPr>
        <w:t xml:space="preserve"> de julgamento</w:t>
      </w:r>
      <w:r w:rsidR="005E375B" w:rsidRPr="005E375B">
        <w:rPr>
          <w:rFonts w:ascii="Arial" w:hAnsi="Arial" w:cs="Arial"/>
          <w:b/>
          <w:bCs/>
          <w:sz w:val="22"/>
          <w:szCs w:val="22"/>
        </w:rPr>
        <w:t xml:space="preserve"> de menor preço por lote</w:t>
      </w:r>
      <w:r w:rsidR="005E375B">
        <w:rPr>
          <w:rFonts w:ascii="Arial" w:hAnsi="Arial" w:cs="Arial"/>
          <w:sz w:val="22"/>
          <w:szCs w:val="22"/>
        </w:rPr>
        <w:t>,</w:t>
      </w:r>
      <w:r w:rsidR="008D0736">
        <w:rPr>
          <w:rFonts w:ascii="Arial" w:hAnsi="Arial" w:cs="Arial"/>
          <w:sz w:val="22"/>
          <w:szCs w:val="22"/>
        </w:rPr>
        <w:t xml:space="preserve"> 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F470AC">
      <w:pPr>
        <w:jc w:val="both"/>
        <w:rPr>
          <w:rFonts w:ascii="Arial" w:hAnsi="Arial" w:cs="Arial"/>
          <w:sz w:val="22"/>
          <w:szCs w:val="22"/>
        </w:rPr>
      </w:pPr>
    </w:p>
    <w:p w14:paraId="6950D0EC" w14:textId="79FCEAF1" w:rsidR="004E78C0" w:rsidRDefault="003F7F3D" w:rsidP="00F470AC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15D97" w:rsidRPr="00615D97">
        <w:rPr>
          <w:rFonts w:ascii="Arial" w:hAnsi="Arial" w:cs="Arial"/>
          <w:sz w:val="22"/>
          <w:szCs w:val="22"/>
        </w:rPr>
        <w:t>A aquisição destina-se ao reabastecimento do estoque de materiais de</w:t>
      </w:r>
      <w:r w:rsidR="00615D97" w:rsidRPr="00615D97">
        <w:rPr>
          <w:rFonts w:ascii="Arial" w:hAnsi="Arial" w:cs="Arial"/>
          <w:sz w:val="22"/>
          <w:szCs w:val="22"/>
        </w:rPr>
        <w:br/>
        <w:t>manutenção, visando garantir condições adequadas para o atendimento imediato de</w:t>
      </w:r>
      <w:r w:rsidR="00615D97" w:rsidRPr="00615D97">
        <w:rPr>
          <w:rFonts w:ascii="Arial" w:hAnsi="Arial" w:cs="Arial"/>
          <w:sz w:val="22"/>
          <w:szCs w:val="22"/>
        </w:rPr>
        <w:br/>
        <w:t>solicitações internas e demandas emergenciais</w:t>
      </w:r>
      <w:r w:rsidR="005F2EE2" w:rsidRPr="005F2EE2">
        <w:rPr>
          <w:rFonts w:ascii="Arial" w:hAnsi="Arial" w:cs="Arial"/>
          <w:sz w:val="22"/>
          <w:szCs w:val="22"/>
        </w:rPr>
        <w:t>.</w:t>
      </w:r>
    </w:p>
    <w:p w14:paraId="55771462" w14:textId="77777777" w:rsidR="00ED3B7E" w:rsidRDefault="00ED3B7E" w:rsidP="00F470AC">
      <w:pPr>
        <w:jc w:val="both"/>
        <w:rPr>
          <w:rFonts w:ascii="Arial" w:hAnsi="Arial" w:cs="Arial"/>
          <w:sz w:val="22"/>
          <w:szCs w:val="22"/>
        </w:rPr>
      </w:pPr>
    </w:p>
    <w:p w14:paraId="094E1C55" w14:textId="64AC136C" w:rsidR="00ED3B7E" w:rsidRDefault="00ED3B7E" w:rsidP="00F470A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ED3B7E">
        <w:rPr>
          <w:rFonts w:ascii="Arial" w:hAnsi="Arial" w:cs="Arial"/>
          <w:b/>
          <w:bCs/>
          <w:sz w:val="21"/>
          <w:szCs w:val="21"/>
          <w:shd w:val="clear" w:color="auto" w:fill="FFFFFF"/>
        </w:rPr>
        <w:t>CRITÉRIO DE JULGAMENTO</w:t>
      </w:r>
      <w:r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: </w:t>
      </w:r>
      <w:r w:rsidRPr="00ED3B7E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ED3B7E">
        <w:rPr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MENOR PREÇO POR LOTE</w:t>
      </w:r>
      <w:r w:rsidRPr="00ED3B7E">
        <w:rPr>
          <w:rFonts w:ascii="Arial" w:hAnsi="Arial" w:cs="Arial"/>
          <w:sz w:val="21"/>
          <w:szCs w:val="21"/>
          <w:shd w:val="clear" w:color="auto" w:fill="FFFFFF"/>
        </w:rPr>
        <w:t>. É facultado ao licitante apresentar propostas para múltiplos lotes, sendo que os orçamentos serão analisados de forma individualizada.</w:t>
      </w:r>
    </w:p>
    <w:p w14:paraId="6DD3CE5C" w14:textId="77777777" w:rsidR="00757902" w:rsidRDefault="00757902" w:rsidP="00F470A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710A95A5" w14:textId="77777777" w:rsidR="00F470AC" w:rsidRDefault="00F470AC" w:rsidP="00F470A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7AF8878" w14:textId="4A2B3556" w:rsidR="001321FE" w:rsidRPr="005F40E2" w:rsidRDefault="003F7F3D" w:rsidP="00035352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035352" w:rsidRPr="00035352">
        <w:rPr>
          <w:rFonts w:ascii="Arial" w:hAnsi="Arial" w:cs="Arial"/>
          <w:sz w:val="22"/>
          <w:szCs w:val="22"/>
        </w:rPr>
        <w:t>3.3.90.30.00 – material de consumo, o subelemento nº 16 – fita dupla face; o subelemento nº 22 – material de limpeza e produtos de higienização: engate de mangueira, emenda de mangueira; o subelemento nº 24 – material para manutenção de bens</w:t>
      </w:r>
      <w:r w:rsidR="00035352">
        <w:rPr>
          <w:rFonts w:ascii="Arial" w:hAnsi="Arial" w:cs="Arial"/>
          <w:sz w:val="22"/>
          <w:szCs w:val="22"/>
        </w:rPr>
        <w:t xml:space="preserve"> </w:t>
      </w:r>
      <w:r w:rsidR="00035352" w:rsidRPr="00035352">
        <w:rPr>
          <w:rFonts w:ascii="Arial" w:hAnsi="Arial" w:cs="Arial"/>
          <w:sz w:val="22"/>
          <w:szCs w:val="22"/>
        </w:rPr>
        <w:t xml:space="preserve">imóveis: adesivo selante PU, silicone adesivo transparente, desengripante lubrificante, tinta látex, massa para acabamento </w:t>
      </w:r>
      <w:proofErr w:type="spellStart"/>
      <w:r w:rsidR="00035352" w:rsidRPr="00035352">
        <w:rPr>
          <w:rFonts w:ascii="Arial" w:hAnsi="Arial" w:cs="Arial"/>
          <w:sz w:val="22"/>
          <w:szCs w:val="22"/>
        </w:rPr>
        <w:t>drywall</w:t>
      </w:r>
      <w:proofErr w:type="spellEnd"/>
      <w:r w:rsidR="00035352" w:rsidRPr="00035352">
        <w:rPr>
          <w:rFonts w:ascii="Arial" w:hAnsi="Arial" w:cs="Arial"/>
          <w:sz w:val="22"/>
          <w:szCs w:val="22"/>
        </w:rPr>
        <w:t xml:space="preserve">, tela adesiva para </w:t>
      </w:r>
      <w:proofErr w:type="spellStart"/>
      <w:r w:rsidR="00035352" w:rsidRPr="00035352">
        <w:rPr>
          <w:rFonts w:ascii="Arial" w:hAnsi="Arial" w:cs="Arial"/>
          <w:sz w:val="22"/>
          <w:szCs w:val="22"/>
        </w:rPr>
        <w:t>drywall</w:t>
      </w:r>
      <w:proofErr w:type="spellEnd"/>
      <w:r w:rsidR="00035352" w:rsidRPr="00035352">
        <w:rPr>
          <w:rFonts w:ascii="Arial" w:hAnsi="Arial" w:cs="Arial"/>
          <w:sz w:val="22"/>
          <w:szCs w:val="22"/>
        </w:rPr>
        <w:t>, tinta acrílica, placa de gesso,</w:t>
      </w:r>
      <w:r w:rsidR="00035352">
        <w:rPr>
          <w:rFonts w:ascii="Arial" w:hAnsi="Arial" w:cs="Arial"/>
          <w:sz w:val="22"/>
          <w:szCs w:val="22"/>
        </w:rPr>
        <w:t xml:space="preserve"> </w:t>
      </w:r>
      <w:r w:rsidR="00035352" w:rsidRPr="00035352">
        <w:rPr>
          <w:rFonts w:ascii="Arial" w:hAnsi="Arial" w:cs="Arial"/>
          <w:sz w:val="22"/>
          <w:szCs w:val="22"/>
        </w:rPr>
        <w:t xml:space="preserve">massa corrida, pincéis, cimento, argamassa, areia, rejunte, broxa para pintura, espuma expansiva, parafusos, porcas e arruelas, </w:t>
      </w:r>
      <w:proofErr w:type="spellStart"/>
      <w:r w:rsidR="00035352" w:rsidRPr="00035352">
        <w:rPr>
          <w:rFonts w:ascii="Arial" w:hAnsi="Arial" w:cs="Arial"/>
          <w:sz w:val="22"/>
          <w:szCs w:val="22"/>
        </w:rPr>
        <w:t>metalon</w:t>
      </w:r>
      <w:proofErr w:type="spellEnd"/>
      <w:r w:rsidR="00035352" w:rsidRPr="00035352">
        <w:rPr>
          <w:rFonts w:ascii="Arial" w:hAnsi="Arial" w:cs="Arial"/>
          <w:sz w:val="22"/>
          <w:szCs w:val="22"/>
        </w:rPr>
        <w:t xml:space="preserve">, abraçadeiras de nylon, o subelemento nº 26 – material elétrico e eletrônico: fita isolante antichamas, pinos macho e fêmea, </w:t>
      </w:r>
      <w:proofErr w:type="spellStart"/>
      <w:r w:rsidR="00035352" w:rsidRPr="00035352">
        <w:rPr>
          <w:rFonts w:ascii="Arial" w:hAnsi="Arial" w:cs="Arial"/>
          <w:sz w:val="22"/>
          <w:szCs w:val="22"/>
        </w:rPr>
        <w:t>benjamin</w:t>
      </w:r>
      <w:proofErr w:type="spellEnd"/>
      <w:r w:rsidR="00035352" w:rsidRPr="00035352">
        <w:rPr>
          <w:rFonts w:ascii="Arial" w:hAnsi="Arial" w:cs="Arial"/>
          <w:sz w:val="22"/>
          <w:szCs w:val="22"/>
        </w:rPr>
        <w:t xml:space="preserve">, adaptadores de tomada, espelhos de tomada, módulos de tomada, módulos de interruptor, lâmpadas, luminárias, refletores de LED, o subelemento nº 28 – material de proteção e segurança: fechadura para gaveta, espelho convexo; o subelemento nº 42 – ferramentas: alicate universal, alicate de bico, jogo de bits e pontas para parafusadeira, alicate de corte diagonal, brocas helicoidais, </w:t>
      </w:r>
      <w:proofErr w:type="spellStart"/>
      <w:r w:rsidR="00035352" w:rsidRPr="00035352">
        <w:rPr>
          <w:rFonts w:ascii="Arial" w:hAnsi="Arial" w:cs="Arial"/>
          <w:sz w:val="22"/>
          <w:szCs w:val="22"/>
        </w:rPr>
        <w:t>Widia</w:t>
      </w:r>
      <w:proofErr w:type="spellEnd"/>
      <w:r w:rsidR="00035352" w:rsidRPr="00035352">
        <w:rPr>
          <w:rFonts w:ascii="Arial" w:hAnsi="Arial" w:cs="Arial"/>
          <w:sz w:val="22"/>
          <w:szCs w:val="22"/>
        </w:rPr>
        <w:t xml:space="preserve"> e três pontas, espátulas plásticas, lâmina de serra; o subelemento nº 44 – material de sinalização visual e afins: pedestal de sinalização, corrente plástica, poste balizador, placas de sinalização, cone sinalizador; • 4.4.90.52.00 – equipamentos e material permanente, o Subelemento nº 30 – máquinas e equipamentos energéticos: autotransformador; o subelemento nº 38 – máquinas, ferramentas e utensílios de oficina: parafusadeira</w:t>
      </w:r>
    </w:p>
    <w:p w14:paraId="44B0B852" w14:textId="77777777" w:rsidR="00F220CB" w:rsidRDefault="00F220CB" w:rsidP="00F470AC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F470AC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F470AC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526AB5E9" w14:textId="77777777" w:rsidR="00D33D57" w:rsidRPr="005F40E2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7323CFF7" w14:textId="6940CCF8" w:rsidR="003F7F3D" w:rsidRDefault="003F7F3D" w:rsidP="00F470AC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AA47D4">
        <w:rPr>
          <w:rFonts w:ascii="Arial" w:hAnsi="Arial" w:cs="Arial"/>
          <w:b/>
          <w:sz w:val="22"/>
          <w:szCs w:val="22"/>
          <w:highlight w:val="yellow"/>
        </w:rPr>
        <w:t>02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AA47D4">
        <w:rPr>
          <w:rFonts w:ascii="Arial" w:hAnsi="Arial" w:cs="Arial"/>
          <w:b/>
          <w:sz w:val="22"/>
          <w:szCs w:val="22"/>
          <w:highlight w:val="yellow"/>
        </w:rPr>
        <w:t>02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</w:t>
      </w:r>
      <w:r w:rsidR="00E652C7" w:rsidRPr="00FF1CFC">
        <w:rPr>
          <w:rFonts w:ascii="Arial" w:hAnsi="Arial" w:cs="Arial"/>
          <w:b/>
          <w:sz w:val="22"/>
          <w:szCs w:val="22"/>
          <w:highlight w:val="yellow"/>
        </w:rPr>
        <w:t>2</w:t>
      </w:r>
      <w:r w:rsidR="00FF1CFC" w:rsidRPr="00FF1CFC">
        <w:rPr>
          <w:rFonts w:ascii="Arial" w:hAnsi="Arial" w:cs="Arial"/>
          <w:b/>
          <w:sz w:val="22"/>
          <w:szCs w:val="22"/>
          <w:highlight w:val="yellow"/>
        </w:rPr>
        <w:t>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43B0A68" w14:textId="77777777" w:rsidR="0066124A" w:rsidRDefault="0066124A" w:rsidP="00F470A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3269153" w14:textId="77777777" w:rsidR="0031158A" w:rsidRDefault="0031158A" w:rsidP="0031158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lastRenderedPageBreak/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19A1D50D" w14:textId="77777777" w:rsidR="0031158A" w:rsidRDefault="0031158A" w:rsidP="0031158A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0771A87" w14:textId="77777777" w:rsidR="0031158A" w:rsidRDefault="0031158A" w:rsidP="0031158A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F470AC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2814E996" w14:textId="77777777" w:rsidR="000437E5" w:rsidRDefault="003F7F3D" w:rsidP="000437E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="000437E5">
        <w:rPr>
          <w:rFonts w:ascii="Arial" w:hAnsi="Arial" w:cs="Arial"/>
          <w:sz w:val="22"/>
          <w:szCs w:val="22"/>
        </w:rPr>
        <w:t>:</w:t>
      </w:r>
    </w:p>
    <w:p w14:paraId="766A5EE5" w14:textId="77777777" w:rsidR="00BB4766" w:rsidRDefault="00BB4766" w:rsidP="00F470AC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3"/>
        <w:gridCol w:w="7620"/>
      </w:tblGrid>
      <w:tr w:rsidR="000437E5" w14:paraId="72B33CA6" w14:textId="77777777" w:rsidTr="000437E5">
        <w:tc>
          <w:tcPr>
            <w:tcW w:w="913" w:type="dxa"/>
          </w:tcPr>
          <w:p w14:paraId="13BB1C05" w14:textId="235BA3E4" w:rsidR="000437E5" w:rsidRDefault="000437E5" w:rsidP="00F470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LOTE</w:t>
            </w:r>
          </w:p>
        </w:tc>
        <w:tc>
          <w:tcPr>
            <w:tcW w:w="7620" w:type="dxa"/>
          </w:tcPr>
          <w:p w14:paraId="0C2E9914" w14:textId="5CF410B3" w:rsidR="000437E5" w:rsidRDefault="000437E5" w:rsidP="00F470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VALOR</w:t>
            </w:r>
          </w:p>
        </w:tc>
      </w:tr>
      <w:tr w:rsidR="000437E5" w14:paraId="442B327B" w14:textId="77777777" w:rsidTr="000437E5">
        <w:tc>
          <w:tcPr>
            <w:tcW w:w="913" w:type="dxa"/>
          </w:tcPr>
          <w:p w14:paraId="5C6B66F3" w14:textId="72ED489C" w:rsidR="000437E5" w:rsidRDefault="000437E5" w:rsidP="00F470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620" w:type="dxa"/>
          </w:tcPr>
          <w:p w14:paraId="1F596959" w14:textId="79894573" w:rsidR="000437E5" w:rsidRDefault="000437E5" w:rsidP="00DA31C7">
            <w:pPr>
              <w:rPr>
                <w:rFonts w:ascii="Arial" w:hAnsi="Arial" w:cs="Arial"/>
                <w:sz w:val="22"/>
                <w:szCs w:val="22"/>
              </w:rPr>
            </w:pPr>
            <w:r w:rsidRPr="000437E5">
              <w:rPr>
                <w:rFonts w:ascii="Arial" w:hAnsi="Arial" w:cs="Arial"/>
                <w:b/>
                <w:bCs/>
                <w:sz w:val="22"/>
                <w:szCs w:val="22"/>
              </w:rPr>
              <w:t>R$ 1.420,64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Pr="000437E5">
              <w:rPr>
                <w:rFonts w:ascii="Arial" w:hAnsi="Arial" w:cs="Arial"/>
                <w:sz w:val="22"/>
                <w:szCs w:val="22"/>
              </w:rPr>
              <w:t>Um mil, quatrocentos e vinte reais e sessenta e quatro centavos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437E5" w14:paraId="1B1CA473" w14:textId="77777777" w:rsidTr="000437E5">
        <w:tc>
          <w:tcPr>
            <w:tcW w:w="913" w:type="dxa"/>
          </w:tcPr>
          <w:p w14:paraId="3D769871" w14:textId="14077EE9" w:rsidR="000437E5" w:rsidRDefault="000437E5" w:rsidP="00F470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620" w:type="dxa"/>
          </w:tcPr>
          <w:p w14:paraId="09C30ED5" w14:textId="6DC8E0FA" w:rsidR="000437E5" w:rsidRDefault="000437E5" w:rsidP="00DA31C7">
            <w:pPr>
              <w:tabs>
                <w:tab w:val="left" w:pos="1277"/>
              </w:tabs>
              <w:rPr>
                <w:rFonts w:ascii="Arial" w:hAnsi="Arial" w:cs="Arial"/>
                <w:sz w:val="22"/>
                <w:szCs w:val="22"/>
              </w:rPr>
            </w:pPr>
            <w:r w:rsidRPr="000437E5">
              <w:rPr>
                <w:rFonts w:ascii="Arial" w:hAnsi="Arial" w:cs="Arial"/>
                <w:b/>
                <w:bCs/>
                <w:sz w:val="22"/>
                <w:szCs w:val="22"/>
              </w:rPr>
              <w:t>R$ 1.326,97</w:t>
            </w:r>
            <w:r w:rsidRPr="000437E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0437E5">
              <w:rPr>
                <w:rFonts w:ascii="Arial" w:hAnsi="Arial" w:cs="Arial"/>
                <w:sz w:val="22"/>
                <w:szCs w:val="22"/>
              </w:rPr>
              <w:t>Um mil, trezentos e vinte e seis reais e noventa e sete centavos.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437E5" w14:paraId="6AFB1D0E" w14:textId="77777777" w:rsidTr="000437E5">
        <w:tc>
          <w:tcPr>
            <w:tcW w:w="913" w:type="dxa"/>
          </w:tcPr>
          <w:p w14:paraId="51CF3794" w14:textId="7E9C7C65" w:rsidR="000437E5" w:rsidRDefault="000437E5" w:rsidP="00F470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620" w:type="dxa"/>
          </w:tcPr>
          <w:p w14:paraId="159407C7" w14:textId="6A6B2163" w:rsidR="000437E5" w:rsidRDefault="000437E5" w:rsidP="00DA31C7">
            <w:pPr>
              <w:rPr>
                <w:rFonts w:ascii="Arial" w:hAnsi="Arial" w:cs="Arial"/>
                <w:sz w:val="22"/>
                <w:szCs w:val="22"/>
              </w:rPr>
            </w:pPr>
            <w:r w:rsidRPr="000437E5">
              <w:rPr>
                <w:rFonts w:ascii="Arial" w:hAnsi="Arial" w:cs="Arial"/>
                <w:b/>
                <w:bCs/>
                <w:sz w:val="22"/>
                <w:szCs w:val="22"/>
              </w:rPr>
              <w:t>R$ 3.034,98</w:t>
            </w:r>
            <w:r w:rsidRPr="000437E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0437E5">
              <w:rPr>
                <w:rFonts w:ascii="Arial" w:hAnsi="Arial" w:cs="Arial"/>
                <w:sz w:val="22"/>
                <w:szCs w:val="22"/>
              </w:rPr>
              <w:t>Três mil e trinta e quatro reais e noventa e oito centavos.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437E5" w14:paraId="241EFB3E" w14:textId="77777777" w:rsidTr="000437E5">
        <w:tc>
          <w:tcPr>
            <w:tcW w:w="913" w:type="dxa"/>
          </w:tcPr>
          <w:p w14:paraId="4D403F79" w14:textId="545D2108" w:rsidR="000437E5" w:rsidRDefault="000437E5" w:rsidP="00F470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620" w:type="dxa"/>
          </w:tcPr>
          <w:p w14:paraId="34CFD4AF" w14:textId="5806C5F8" w:rsidR="000437E5" w:rsidRDefault="000437E5" w:rsidP="00DA31C7">
            <w:pPr>
              <w:rPr>
                <w:rFonts w:ascii="Arial" w:hAnsi="Arial" w:cs="Arial"/>
                <w:sz w:val="22"/>
                <w:szCs w:val="22"/>
              </w:rPr>
            </w:pPr>
            <w:r w:rsidRPr="000437E5">
              <w:rPr>
                <w:rFonts w:ascii="Arial" w:hAnsi="Arial" w:cs="Arial"/>
                <w:b/>
                <w:bCs/>
                <w:sz w:val="22"/>
                <w:szCs w:val="22"/>
              </w:rPr>
              <w:t>R$ 786,82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0437E5">
              <w:rPr>
                <w:rFonts w:ascii="Arial" w:hAnsi="Arial" w:cs="Arial"/>
                <w:sz w:val="22"/>
                <w:szCs w:val="22"/>
              </w:rPr>
              <w:t>Setecentos e oitenta e seis reais e oitenta e dois centavos.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437E5" w14:paraId="415BB46E" w14:textId="77777777" w:rsidTr="000437E5">
        <w:tc>
          <w:tcPr>
            <w:tcW w:w="913" w:type="dxa"/>
          </w:tcPr>
          <w:p w14:paraId="53993FCE" w14:textId="13C910F1" w:rsidR="000437E5" w:rsidRDefault="000437E5" w:rsidP="00F470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620" w:type="dxa"/>
          </w:tcPr>
          <w:p w14:paraId="3931AA36" w14:textId="6D0EF8D6" w:rsidR="000437E5" w:rsidRDefault="000437E5" w:rsidP="00DA31C7">
            <w:pPr>
              <w:rPr>
                <w:rFonts w:ascii="Arial" w:hAnsi="Arial" w:cs="Arial"/>
                <w:sz w:val="22"/>
                <w:szCs w:val="22"/>
              </w:rPr>
            </w:pPr>
            <w:r w:rsidRPr="000437E5">
              <w:rPr>
                <w:rFonts w:ascii="Arial" w:hAnsi="Arial" w:cs="Arial"/>
                <w:b/>
                <w:bCs/>
                <w:sz w:val="22"/>
                <w:szCs w:val="22"/>
              </w:rPr>
              <w:t>R$ 8.936,79</w:t>
            </w:r>
            <w:r w:rsidRPr="000437E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0437E5">
              <w:rPr>
                <w:rFonts w:ascii="Arial" w:hAnsi="Arial" w:cs="Arial"/>
                <w:sz w:val="22"/>
                <w:szCs w:val="22"/>
              </w:rPr>
              <w:t>Oito mil, novecentos e trinta e seis reais e setenta e nove centavos.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437E5" w14:paraId="517A37AC" w14:textId="77777777" w:rsidTr="000437E5">
        <w:tc>
          <w:tcPr>
            <w:tcW w:w="913" w:type="dxa"/>
          </w:tcPr>
          <w:p w14:paraId="7625BF7E" w14:textId="239BA9A5" w:rsidR="000437E5" w:rsidRDefault="000437E5" w:rsidP="00F470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620" w:type="dxa"/>
          </w:tcPr>
          <w:p w14:paraId="21303551" w14:textId="2FA7E38D" w:rsidR="000437E5" w:rsidRDefault="000437E5" w:rsidP="00DA31C7">
            <w:pPr>
              <w:tabs>
                <w:tab w:val="left" w:pos="2367"/>
              </w:tabs>
              <w:rPr>
                <w:rFonts w:ascii="Arial" w:hAnsi="Arial" w:cs="Arial"/>
                <w:sz w:val="22"/>
                <w:szCs w:val="22"/>
              </w:rPr>
            </w:pPr>
            <w:r w:rsidRPr="000437E5">
              <w:rPr>
                <w:rFonts w:ascii="Arial" w:hAnsi="Arial" w:cs="Arial"/>
                <w:b/>
                <w:bCs/>
                <w:sz w:val="22"/>
                <w:szCs w:val="22"/>
              </w:rPr>
              <w:t>R$ 1.239,86</w:t>
            </w:r>
            <w:r w:rsidRPr="000437E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0437E5">
              <w:rPr>
                <w:rFonts w:ascii="Arial" w:hAnsi="Arial" w:cs="Arial"/>
                <w:sz w:val="22"/>
                <w:szCs w:val="22"/>
              </w:rPr>
              <w:t>Um mil, duzentos e trinta e nove reais e oitenta e seis centavos.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437E5" w14:paraId="44528A31" w14:textId="77777777" w:rsidTr="000437E5">
        <w:tc>
          <w:tcPr>
            <w:tcW w:w="913" w:type="dxa"/>
          </w:tcPr>
          <w:p w14:paraId="4E060116" w14:textId="25C7EC58" w:rsidR="000437E5" w:rsidRDefault="000437E5" w:rsidP="00F470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620" w:type="dxa"/>
          </w:tcPr>
          <w:p w14:paraId="576477BE" w14:textId="4E6BBCCC" w:rsidR="000437E5" w:rsidRDefault="000437E5" w:rsidP="000437E5">
            <w:pPr>
              <w:tabs>
                <w:tab w:val="left" w:pos="8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37E5">
              <w:rPr>
                <w:rFonts w:ascii="Arial" w:hAnsi="Arial" w:cs="Arial"/>
                <w:b/>
                <w:bCs/>
                <w:sz w:val="22"/>
                <w:szCs w:val="22"/>
              </w:rPr>
              <w:t>R$ 2.905,96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Pr="000437E5">
              <w:rPr>
                <w:rFonts w:ascii="Arial" w:hAnsi="Arial" w:cs="Arial"/>
                <w:sz w:val="22"/>
                <w:szCs w:val="22"/>
              </w:rPr>
              <w:t>Dois mil, novecentos e cinco reais e noventa e seis centavos.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5802C8EB" w14:textId="77777777" w:rsidR="000437E5" w:rsidRDefault="000437E5" w:rsidP="00F470AC">
      <w:pPr>
        <w:jc w:val="center"/>
        <w:rPr>
          <w:rFonts w:ascii="Arial" w:hAnsi="Arial" w:cs="Arial"/>
          <w:sz w:val="22"/>
          <w:szCs w:val="22"/>
        </w:rPr>
      </w:pPr>
    </w:p>
    <w:p w14:paraId="4D77E8B9" w14:textId="1D8E9219" w:rsidR="000437E5" w:rsidRDefault="00035352" w:rsidP="00035352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valor estimado total da dispensa é de </w:t>
      </w:r>
      <w:r w:rsidRPr="00035352">
        <w:rPr>
          <w:rFonts w:ascii="Arial" w:hAnsi="Arial" w:cs="Arial"/>
          <w:b/>
          <w:bCs/>
          <w:sz w:val="22"/>
          <w:szCs w:val="22"/>
        </w:rPr>
        <w:t>R$ 19.652,02 (Dezenove mil, seiscentos e cinquenta e dois reais e dois centavos).</w:t>
      </w:r>
    </w:p>
    <w:p w14:paraId="5B6D6EE7" w14:textId="77777777" w:rsidR="00035352" w:rsidRPr="00035352" w:rsidRDefault="00035352" w:rsidP="00035352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DB7407C" w14:textId="77777777" w:rsidR="000437E5" w:rsidRDefault="000437E5" w:rsidP="00F470AC">
      <w:pPr>
        <w:jc w:val="center"/>
        <w:rPr>
          <w:rFonts w:ascii="Arial" w:hAnsi="Arial" w:cs="Arial"/>
          <w:sz w:val="22"/>
          <w:szCs w:val="22"/>
        </w:rPr>
      </w:pPr>
    </w:p>
    <w:p w14:paraId="254926C2" w14:textId="24FEE5F4" w:rsidR="001D59A2" w:rsidRDefault="003F7F3D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AA47D4">
        <w:rPr>
          <w:rFonts w:ascii="Arial" w:hAnsi="Arial" w:cs="Arial"/>
          <w:noProof/>
          <w:sz w:val="22"/>
          <w:szCs w:val="22"/>
        </w:rPr>
        <w:t>28 de janeiro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4241B76F" w14:textId="77777777" w:rsidR="00035352" w:rsidRDefault="00035352" w:rsidP="00F470AC">
      <w:pPr>
        <w:jc w:val="center"/>
        <w:rPr>
          <w:rFonts w:ascii="Arial" w:hAnsi="Arial" w:cs="Arial"/>
          <w:sz w:val="22"/>
          <w:szCs w:val="22"/>
        </w:rPr>
      </w:pPr>
    </w:p>
    <w:p w14:paraId="36F81757" w14:textId="77777777" w:rsidR="00757902" w:rsidRPr="005F40E2" w:rsidRDefault="00757902" w:rsidP="00F470AC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35352"/>
    <w:rsid w:val="000437E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601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158A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3E90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375B"/>
    <w:rsid w:val="005E551A"/>
    <w:rsid w:val="005F2EB3"/>
    <w:rsid w:val="005F2EE2"/>
    <w:rsid w:val="005F40E2"/>
    <w:rsid w:val="005F48B2"/>
    <w:rsid w:val="005F539C"/>
    <w:rsid w:val="00603026"/>
    <w:rsid w:val="006116E6"/>
    <w:rsid w:val="00612DCC"/>
    <w:rsid w:val="00615D97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74756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3C33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57902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3604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5907"/>
    <w:rsid w:val="008C6C7D"/>
    <w:rsid w:val="008D0736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6D7B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168C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47D4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3A05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01C9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904DA"/>
    <w:rsid w:val="00DA29B5"/>
    <w:rsid w:val="00DA31C7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D3B7E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05E43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470AC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1CFC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613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9</cp:revision>
  <cp:lastPrinted>2024-08-02T15:20:00Z</cp:lastPrinted>
  <dcterms:created xsi:type="dcterms:W3CDTF">2025-12-01T12:43:00Z</dcterms:created>
  <dcterms:modified xsi:type="dcterms:W3CDTF">2026-01-28T13:36:00Z</dcterms:modified>
</cp:coreProperties>
</file>